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B953A" w14:textId="77777777" w:rsidR="004C5AF4" w:rsidRPr="00380F2D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380F2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A3A96" w:rsidRPr="00380F2D">
        <w:rPr>
          <w:rFonts w:asciiTheme="majorHAnsi" w:eastAsia="Times New Roman" w:hAnsiTheme="majorHAnsi" w:cs="Times New Roman"/>
          <w:lang w:eastAsia="cs-CZ"/>
        </w:rPr>
        <w:t>1</w:t>
      </w:r>
      <w:r w:rsidR="004C5AF4" w:rsidRPr="00380F2D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E68A191" w14:textId="77777777" w:rsidR="004C5AF4" w:rsidRPr="00380F2D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380F2D"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0F0B2D2B" w14:textId="77777777" w:rsidR="00087D48" w:rsidRPr="00380F2D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3AD076E8" w14:textId="09050471" w:rsidR="00087D48" w:rsidRPr="00380F2D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380F2D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</w:t>
      </w:r>
      <w:r w:rsidR="00380F2D">
        <w:rPr>
          <w:rFonts w:asciiTheme="majorHAnsi" w:eastAsia="Times New Roman" w:hAnsiTheme="majorHAnsi" w:cs="Arial"/>
          <w:bCs/>
          <w:iCs/>
        </w:rPr>
        <w:t xml:space="preserve"> (dále též</w:t>
      </w:r>
      <w:r w:rsidR="00606C48">
        <w:rPr>
          <w:rFonts w:asciiTheme="majorHAnsi" w:eastAsia="Times New Roman" w:hAnsiTheme="majorHAnsi" w:cs="Arial"/>
          <w:bCs/>
          <w:iCs/>
        </w:rPr>
        <w:t xml:space="preserve"> uváděn jako „SŽ“)</w:t>
      </w:r>
      <w:r w:rsidRPr="00380F2D">
        <w:rPr>
          <w:rFonts w:asciiTheme="majorHAnsi" w:eastAsia="Times New Roman" w:hAnsiTheme="majorHAnsi" w:cs="Arial"/>
          <w:bCs/>
          <w:iCs/>
        </w:rPr>
        <w:t>:</w:t>
      </w:r>
    </w:p>
    <w:p w14:paraId="3E46BA2B" w14:textId="77777777" w:rsidR="00380F2D" w:rsidRPr="004F41AF" w:rsidRDefault="00380F2D" w:rsidP="004F41AF">
      <w:pPr>
        <w:keepNext/>
        <w:numPr>
          <w:ilvl w:val="1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F41AF">
        <w:rPr>
          <w:rFonts w:asciiTheme="majorHAnsi" w:eastAsia="Times New Roman" w:hAnsiTheme="majorHAnsi" w:cs="Arial"/>
          <w:b/>
          <w:bCs/>
          <w:caps/>
          <w:kern w:val="32"/>
        </w:rPr>
        <w:t>Základní požadavky</w:t>
      </w:r>
    </w:p>
    <w:p w14:paraId="3A60CC01" w14:textId="77777777" w:rsidR="00380F2D" w:rsidRPr="004F41AF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</w:rPr>
      </w:pPr>
      <w:r w:rsidRPr="004F41AF">
        <w:rPr>
          <w:rFonts w:asciiTheme="majorHAnsi" w:eastAsia="Times New Roman" w:hAnsiTheme="majorHAnsi" w:cs="Times New Roman"/>
          <w:b/>
        </w:rPr>
        <w:t>Je požadována:</w:t>
      </w:r>
    </w:p>
    <w:p w14:paraId="2E7F07AC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Dodávka systému VoIP telefonní ústředny založeného na standardu SIP.</w:t>
      </w:r>
    </w:p>
    <w:p w14:paraId="5A562BFF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Dodávka VoIP telefonních přístrojů pro lokality Dlážděná a Pernerova.</w:t>
      </w:r>
    </w:p>
    <w:p w14:paraId="36E2BFA9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Dodávka licencí pro pokrytí níže uvedené požadované kapacity.</w:t>
      </w:r>
    </w:p>
    <w:p w14:paraId="33DF910F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Dodávka aktivních síťových prvků pro připojení a napájení telefonních přístrojů.</w:t>
      </w:r>
    </w:p>
    <w:p w14:paraId="22CCBE0C" w14:textId="7FF98CEF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Zajištění potřebných školení zaměstnanců </w:t>
      </w:r>
      <w:r w:rsidR="00F908DC">
        <w:rPr>
          <w:rFonts w:asciiTheme="majorHAnsi" w:eastAsia="Times New Roman" w:hAnsiTheme="majorHAnsi" w:cs="Times New Roman"/>
        </w:rPr>
        <w:t>kupujícího</w:t>
      </w:r>
      <w:r w:rsidRPr="00380F2D">
        <w:rPr>
          <w:rFonts w:asciiTheme="majorHAnsi" w:eastAsia="Times New Roman" w:hAnsiTheme="majorHAnsi" w:cs="Times New Roman"/>
        </w:rPr>
        <w:t>.</w:t>
      </w:r>
    </w:p>
    <w:p w14:paraId="23A3A4C8" w14:textId="1231D939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Zajištění smluvní podpory a </w:t>
      </w:r>
      <w:r w:rsidR="008C48EF">
        <w:rPr>
          <w:rFonts w:asciiTheme="majorHAnsi" w:eastAsia="Times New Roman" w:hAnsiTheme="majorHAnsi" w:cs="Times New Roman"/>
        </w:rPr>
        <w:t xml:space="preserve">záručního </w:t>
      </w:r>
      <w:r w:rsidRPr="00380F2D">
        <w:rPr>
          <w:rFonts w:asciiTheme="majorHAnsi" w:eastAsia="Times New Roman" w:hAnsiTheme="majorHAnsi" w:cs="Times New Roman"/>
        </w:rPr>
        <w:t>servisu pro dodávané řešení.</w:t>
      </w:r>
    </w:p>
    <w:p w14:paraId="57F55F00" w14:textId="77777777" w:rsidR="00380F2D" w:rsidRPr="004F41AF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</w:rPr>
      </w:pPr>
      <w:r w:rsidRPr="004F41AF">
        <w:rPr>
          <w:rFonts w:asciiTheme="majorHAnsi" w:eastAsia="Times New Roman" w:hAnsiTheme="majorHAnsi" w:cs="Times New Roman"/>
          <w:b/>
        </w:rPr>
        <w:t>Požadovaná kapacita:</w:t>
      </w:r>
    </w:p>
    <w:p w14:paraId="7B4A74BD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500 účastníků</w:t>
      </w:r>
    </w:p>
    <w:p w14:paraId="726D6C85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20 analogových portů pro FAX (bez IP/analog převodníků)</w:t>
      </w:r>
    </w:p>
    <w:p w14:paraId="6AE91FE0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60 kanálů SIP trunk</w:t>
      </w:r>
    </w:p>
    <w:p w14:paraId="0C78D46E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ISDN30 pro připojení na veřejného telefonního operátora</w:t>
      </w:r>
    </w:p>
    <w:p w14:paraId="127A43C6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ISDN30 pro propojení na stávající systém po dobu migrace</w:t>
      </w:r>
    </w:p>
    <w:p w14:paraId="7786C52A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Možnost připojit 20 obecných SIP zařízení (dveřníky apod.)</w:t>
      </w:r>
    </w:p>
    <w:p w14:paraId="0846CBFB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4F41AF">
        <w:rPr>
          <w:rFonts w:asciiTheme="majorHAnsi" w:eastAsia="Times New Roman" w:hAnsiTheme="majorHAnsi" w:cs="Times New Roman"/>
          <w:b/>
        </w:rPr>
        <w:t>Telefonní přístroje:</w:t>
      </w:r>
      <w:r w:rsidRPr="00380F2D">
        <w:rPr>
          <w:rFonts w:asciiTheme="majorHAnsi" w:eastAsia="Times New Roman" w:hAnsiTheme="majorHAnsi" w:cs="Times New Roman"/>
        </w:rPr>
        <w:t xml:space="preserve"> (specifikace je uvedena níže)</w:t>
      </w:r>
    </w:p>
    <w:p w14:paraId="1F0C0911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20 ks manažerský telefon</w:t>
      </w:r>
    </w:p>
    <w:p w14:paraId="2BC4A373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20 ks střední telefon, každý včetně rozšiřujícího modulu</w:t>
      </w:r>
    </w:p>
    <w:p w14:paraId="31BF3730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460 ks základní telefon</w:t>
      </w:r>
    </w:p>
    <w:p w14:paraId="0FB50010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120 ks napájecí adaptér 230 V</w:t>
      </w:r>
    </w:p>
    <w:p w14:paraId="2DD00E33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4F41AF">
        <w:rPr>
          <w:rFonts w:asciiTheme="majorHAnsi" w:eastAsia="Times New Roman" w:hAnsiTheme="majorHAnsi" w:cs="Times New Roman"/>
          <w:b/>
        </w:rPr>
        <w:t xml:space="preserve">Síťové aktivní prvky: </w:t>
      </w:r>
      <w:r w:rsidRPr="00380F2D">
        <w:rPr>
          <w:rFonts w:asciiTheme="majorHAnsi" w:eastAsia="Times New Roman" w:hAnsiTheme="majorHAnsi" w:cs="Times New Roman"/>
        </w:rPr>
        <w:t>(specifikace je uvedena níže)</w:t>
      </w:r>
    </w:p>
    <w:p w14:paraId="21BD90B2" w14:textId="4BF14DEB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6 ks Gigabit Switch</w:t>
      </w:r>
      <w:r w:rsidR="00F55193">
        <w:rPr>
          <w:rFonts w:asciiTheme="majorHAnsi" w:eastAsia="Times New Roman" w:hAnsiTheme="majorHAnsi" w:cs="Times New Roman"/>
        </w:rPr>
        <w:t xml:space="preserve"> minimálně</w:t>
      </w:r>
      <w:r w:rsidRPr="00380F2D">
        <w:rPr>
          <w:rFonts w:asciiTheme="majorHAnsi" w:eastAsia="Times New Roman" w:hAnsiTheme="majorHAnsi" w:cs="Times New Roman"/>
        </w:rPr>
        <w:t xml:space="preserve"> 48x 1Gb (RJ45)</w:t>
      </w:r>
      <w:r w:rsidR="00802C6A">
        <w:rPr>
          <w:rFonts w:asciiTheme="majorHAnsi" w:eastAsia="Times New Roman" w:hAnsiTheme="majorHAnsi" w:cs="Times New Roman"/>
        </w:rPr>
        <w:t xml:space="preserve"> + </w:t>
      </w:r>
      <w:r w:rsidR="00344AD5">
        <w:rPr>
          <w:rFonts w:asciiTheme="majorHAnsi" w:eastAsia="Times New Roman" w:hAnsiTheme="majorHAnsi" w:cs="Times New Roman"/>
        </w:rPr>
        <w:t>2</w:t>
      </w:r>
      <w:r w:rsidR="00802C6A">
        <w:rPr>
          <w:rFonts w:asciiTheme="majorHAnsi" w:eastAsia="Times New Roman" w:hAnsiTheme="majorHAnsi" w:cs="Times New Roman"/>
        </w:rPr>
        <w:t>x SFP</w:t>
      </w:r>
      <w:r w:rsidR="00C05E2F">
        <w:rPr>
          <w:rFonts w:asciiTheme="majorHAnsi" w:eastAsia="Times New Roman" w:hAnsiTheme="majorHAnsi" w:cs="Times New Roman"/>
        </w:rPr>
        <w:t xml:space="preserve"> port</w:t>
      </w:r>
      <w:r w:rsidR="00802C6A">
        <w:rPr>
          <w:rFonts w:asciiTheme="majorHAnsi" w:eastAsia="Times New Roman" w:hAnsiTheme="majorHAnsi" w:cs="Times New Roman"/>
        </w:rPr>
        <w:t xml:space="preserve"> </w:t>
      </w:r>
    </w:p>
    <w:p w14:paraId="0064D229" w14:textId="446452B1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8 ks Gigabit PoE Switch </w:t>
      </w:r>
      <w:r w:rsidR="00F55193">
        <w:rPr>
          <w:rFonts w:asciiTheme="majorHAnsi" w:eastAsia="Times New Roman" w:hAnsiTheme="majorHAnsi" w:cs="Times New Roman"/>
        </w:rPr>
        <w:t xml:space="preserve">minimálně </w:t>
      </w:r>
      <w:r w:rsidRPr="00380F2D">
        <w:rPr>
          <w:rFonts w:asciiTheme="majorHAnsi" w:eastAsia="Times New Roman" w:hAnsiTheme="majorHAnsi" w:cs="Times New Roman"/>
        </w:rPr>
        <w:t>48x 1Gb (RJ45)</w:t>
      </w:r>
      <w:r w:rsidR="00802C6A">
        <w:rPr>
          <w:rFonts w:asciiTheme="majorHAnsi" w:eastAsia="Times New Roman" w:hAnsiTheme="majorHAnsi" w:cs="Times New Roman"/>
        </w:rPr>
        <w:t xml:space="preserve"> + </w:t>
      </w:r>
      <w:r w:rsidR="00344AD5">
        <w:rPr>
          <w:rFonts w:asciiTheme="majorHAnsi" w:eastAsia="Times New Roman" w:hAnsiTheme="majorHAnsi" w:cs="Times New Roman"/>
        </w:rPr>
        <w:t>2</w:t>
      </w:r>
      <w:r w:rsidR="00802C6A">
        <w:rPr>
          <w:rFonts w:asciiTheme="majorHAnsi" w:eastAsia="Times New Roman" w:hAnsiTheme="majorHAnsi" w:cs="Times New Roman"/>
        </w:rPr>
        <w:t>x SFP</w:t>
      </w:r>
      <w:r w:rsidR="00C05E2F">
        <w:rPr>
          <w:rFonts w:asciiTheme="majorHAnsi" w:eastAsia="Times New Roman" w:hAnsiTheme="majorHAnsi" w:cs="Times New Roman"/>
        </w:rPr>
        <w:t xml:space="preserve"> port</w:t>
      </w:r>
    </w:p>
    <w:p w14:paraId="2983A12D" w14:textId="1A4BE2B5" w:rsidR="00643820" w:rsidRDefault="00380F2D" w:rsidP="006438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14 ks </w:t>
      </w:r>
      <w:r w:rsidR="00F55193">
        <w:rPr>
          <w:rFonts w:asciiTheme="majorHAnsi" w:eastAsia="Times New Roman" w:hAnsiTheme="majorHAnsi" w:cs="Times New Roman"/>
        </w:rPr>
        <w:t xml:space="preserve">minimálně </w:t>
      </w:r>
      <w:r w:rsidRPr="00380F2D">
        <w:rPr>
          <w:rFonts w:asciiTheme="majorHAnsi" w:eastAsia="Times New Roman" w:hAnsiTheme="majorHAnsi" w:cs="Times New Roman"/>
        </w:rPr>
        <w:t xml:space="preserve">1Gb SFP DAC kabelů o délce minimálně </w:t>
      </w:r>
      <w:r w:rsidR="00E66FFE">
        <w:rPr>
          <w:rFonts w:asciiTheme="majorHAnsi" w:eastAsia="Times New Roman" w:hAnsiTheme="majorHAnsi" w:cs="Times New Roman"/>
        </w:rPr>
        <w:t>5</w:t>
      </w:r>
      <w:r w:rsidRPr="00380F2D">
        <w:rPr>
          <w:rFonts w:asciiTheme="majorHAnsi" w:eastAsia="Times New Roman" w:hAnsiTheme="majorHAnsi" w:cs="Times New Roman"/>
        </w:rPr>
        <w:t xml:space="preserve"> metrů</w:t>
      </w:r>
    </w:p>
    <w:p w14:paraId="36DF2C09" w14:textId="188F4218" w:rsidR="00380F2D" w:rsidRPr="00643820" w:rsidRDefault="00E66FFE" w:rsidP="00643820">
      <w:pPr>
        <w:pStyle w:val="Odstavecseseznamem"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643820">
        <w:rPr>
          <w:rFonts w:asciiTheme="majorHAnsi" w:eastAsia="Times New Roman" w:hAnsiTheme="majorHAnsi" w:cs="Times New Roman"/>
        </w:rPr>
        <w:t xml:space="preserve">8 ks </w:t>
      </w:r>
      <w:r w:rsidR="00F55193">
        <w:rPr>
          <w:rFonts w:asciiTheme="majorHAnsi" w:eastAsia="Times New Roman" w:hAnsiTheme="majorHAnsi" w:cs="Times New Roman"/>
        </w:rPr>
        <w:t xml:space="preserve">minimálně </w:t>
      </w:r>
      <w:r w:rsidRPr="00643820">
        <w:rPr>
          <w:rFonts w:asciiTheme="majorHAnsi" w:eastAsia="Times New Roman" w:hAnsiTheme="majorHAnsi" w:cs="Times New Roman"/>
        </w:rPr>
        <w:t>1Gb SFP modulů single mode</w:t>
      </w:r>
    </w:p>
    <w:p w14:paraId="2AA93781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</w:p>
    <w:p w14:paraId="38C316BF" w14:textId="77777777" w:rsidR="00380F2D" w:rsidRPr="004F41AF" w:rsidRDefault="00380F2D" w:rsidP="004F41AF">
      <w:pPr>
        <w:keepNext/>
        <w:numPr>
          <w:ilvl w:val="1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F41AF">
        <w:rPr>
          <w:rFonts w:asciiTheme="majorHAnsi" w:eastAsia="Times New Roman" w:hAnsiTheme="majorHAnsi" w:cs="Arial"/>
          <w:b/>
          <w:bCs/>
          <w:caps/>
          <w:kern w:val="32"/>
        </w:rPr>
        <w:t>Funkční požadavky na telefonní ústřednu</w:t>
      </w:r>
    </w:p>
    <w:p w14:paraId="2F4C70C9" w14:textId="5A2541B8" w:rsidR="00380F2D" w:rsidRPr="00380F2D" w:rsidRDefault="00380F2D" w:rsidP="00380F2D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Je požadováno flexibilní řešení umožňující provoz jak ve virtuálním prostředí na HW dodavatele (</w:t>
      </w:r>
      <w:proofErr w:type="spellStart"/>
      <w:r w:rsidRPr="00380F2D">
        <w:rPr>
          <w:rFonts w:asciiTheme="majorHAnsi" w:eastAsia="Times New Roman" w:hAnsiTheme="majorHAnsi" w:cs="Times New Roman"/>
        </w:rPr>
        <w:t>appliance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), tak jako dedikované HW zařízení od výrobce. </w:t>
      </w:r>
      <w:r w:rsidR="0099153B">
        <w:rPr>
          <w:rFonts w:asciiTheme="majorHAnsi" w:eastAsia="Times New Roman" w:hAnsiTheme="majorHAnsi" w:cs="Times New Roman"/>
        </w:rPr>
        <w:t>Kupující požaduje</w:t>
      </w:r>
      <w:r w:rsidRPr="00380F2D">
        <w:rPr>
          <w:rFonts w:asciiTheme="majorHAnsi" w:eastAsia="Times New Roman" w:hAnsiTheme="majorHAnsi" w:cs="Times New Roman"/>
        </w:rPr>
        <w:t xml:space="preserve"> řešení na dedikovaném HW výrobce. Dodávané řešení nebude pro svou funkci využívat cloudové služby. </w:t>
      </w:r>
    </w:p>
    <w:p w14:paraId="228F88DE" w14:textId="77777777" w:rsidR="00380F2D" w:rsidRP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 xml:space="preserve">Je požadováno takové řešení, které bude schopné zajistit redundanci telefonní ústředny a </w:t>
      </w:r>
      <w:r w:rsidRPr="00380F2D">
        <w:rPr>
          <w:rFonts w:asciiTheme="majorHAnsi" w:eastAsia="Times New Roman" w:hAnsiTheme="majorHAnsi" w:cs="Times New Roman"/>
        </w:rPr>
        <w:lastRenderedPageBreak/>
        <w:t>vysokou dostupnost telefonních služeb pro GŘ SŽ.</w:t>
      </w:r>
    </w:p>
    <w:p w14:paraId="778268D0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</w:p>
    <w:p w14:paraId="60FBEE4B" w14:textId="77777777" w:rsidR="00380F2D" w:rsidRP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Požadovány jsou minimálně tyto základní telefonní funkce dostupné v současném systému:</w:t>
      </w:r>
    </w:p>
    <w:p w14:paraId="3BF1A177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Identifikace volajícího</w:t>
      </w:r>
    </w:p>
    <w:p w14:paraId="3FCC337D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Funkce vyzváněcích skupin (Group </w:t>
      </w:r>
      <w:proofErr w:type="spellStart"/>
      <w:r w:rsidRPr="00380F2D">
        <w:rPr>
          <w:rFonts w:asciiTheme="majorHAnsi" w:eastAsia="Times New Roman" w:hAnsiTheme="majorHAnsi" w:cs="Times New Roman"/>
        </w:rPr>
        <w:t>Hunting</w:t>
      </w:r>
      <w:proofErr w:type="spellEnd"/>
      <w:r w:rsidRPr="00380F2D">
        <w:rPr>
          <w:rFonts w:asciiTheme="majorHAnsi" w:eastAsia="Times New Roman" w:hAnsiTheme="majorHAnsi" w:cs="Times New Roman"/>
        </w:rPr>
        <w:t>)</w:t>
      </w:r>
    </w:p>
    <w:p w14:paraId="17E01369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sekretářských souprav</w:t>
      </w:r>
    </w:p>
    <w:p w14:paraId="0A556430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Oprávnění k volbě</w:t>
      </w:r>
    </w:p>
    <w:p w14:paraId="08F12C07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Záznam o hovoru (generování CDR)</w:t>
      </w:r>
    </w:p>
    <w:p w14:paraId="2732D0ED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směrování externích volání dle nákladů (LCR)</w:t>
      </w:r>
    </w:p>
    <w:p w14:paraId="6385D968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přidržení hovoru</w:t>
      </w:r>
    </w:p>
    <w:p w14:paraId="20F2454C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přesměrování hovoru</w:t>
      </w:r>
    </w:p>
    <w:p w14:paraId="09593846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přepojení hovoru</w:t>
      </w:r>
    </w:p>
    <w:p w14:paraId="3ED089BB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čekajícího volání</w:t>
      </w:r>
    </w:p>
    <w:p w14:paraId="61409C87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zobrazení čísel volaných, přijatých a nepřijatých</w:t>
      </w:r>
    </w:p>
    <w:p w14:paraId="06C1DFD5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konferenčních hovorů minimálně pro 8 účastníků</w:t>
      </w:r>
    </w:p>
    <w:p w14:paraId="56B49A5C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zpětného volání</w:t>
      </w:r>
    </w:p>
    <w:p w14:paraId="6992AD29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Funkce převzetí hovoru</w:t>
      </w:r>
    </w:p>
    <w:p w14:paraId="3B09F3C2" w14:textId="7CD08358" w:rsidR="00380F2D" w:rsidRP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Nabízené řešení musí umožnit připojení části účastníků (</w:t>
      </w:r>
      <w:r w:rsidR="00A05A92">
        <w:rPr>
          <w:rFonts w:asciiTheme="majorHAnsi" w:eastAsia="Times New Roman" w:hAnsiTheme="majorHAnsi" w:cs="Times New Roman"/>
        </w:rPr>
        <w:t>min.</w:t>
      </w:r>
      <w:r w:rsidRPr="00380F2D">
        <w:rPr>
          <w:rFonts w:asciiTheme="majorHAnsi" w:eastAsia="Times New Roman" w:hAnsiTheme="majorHAnsi" w:cs="Times New Roman"/>
        </w:rPr>
        <w:t xml:space="preserve"> 50) na vzdáleném pracovišti Praha – Pernerova.</w:t>
      </w:r>
    </w:p>
    <w:p w14:paraId="07D9289B" w14:textId="15BAEC6F" w:rsid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 xml:space="preserve">Je požadována </w:t>
      </w:r>
      <w:r w:rsidR="006C73F7">
        <w:rPr>
          <w:rFonts w:asciiTheme="majorHAnsi" w:eastAsia="Times New Roman" w:hAnsiTheme="majorHAnsi" w:cs="Times New Roman"/>
        </w:rPr>
        <w:t xml:space="preserve">plná </w:t>
      </w:r>
      <w:r w:rsidRPr="00380F2D">
        <w:rPr>
          <w:rFonts w:asciiTheme="majorHAnsi" w:eastAsia="Times New Roman" w:hAnsiTheme="majorHAnsi" w:cs="Times New Roman"/>
        </w:rPr>
        <w:t xml:space="preserve">kompatibilita se systémy provozovanými v tranzitní telefonní síti </w:t>
      </w:r>
      <w:r w:rsidR="00643820">
        <w:rPr>
          <w:rFonts w:asciiTheme="majorHAnsi" w:eastAsia="Times New Roman" w:hAnsiTheme="majorHAnsi" w:cs="Times New Roman"/>
        </w:rPr>
        <w:t xml:space="preserve">SŽ, </w:t>
      </w:r>
      <w:proofErr w:type="spellStart"/>
      <w:r w:rsidRPr="00380F2D">
        <w:rPr>
          <w:rFonts w:asciiTheme="majorHAnsi" w:eastAsia="Times New Roman" w:hAnsiTheme="majorHAnsi" w:cs="Times New Roman"/>
        </w:rPr>
        <w:t>Mitel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380F2D">
        <w:rPr>
          <w:rFonts w:asciiTheme="majorHAnsi" w:eastAsia="Times New Roman" w:hAnsiTheme="majorHAnsi" w:cs="Times New Roman"/>
        </w:rPr>
        <w:t>MiVoice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MX-ONE</w:t>
      </w:r>
      <w:r w:rsidR="00FE1680">
        <w:rPr>
          <w:rFonts w:asciiTheme="majorHAnsi" w:eastAsia="Times New Roman" w:hAnsiTheme="majorHAnsi" w:cs="Times New Roman"/>
        </w:rPr>
        <w:t>,</w:t>
      </w:r>
      <w:r w:rsidRPr="00380F2D">
        <w:rPr>
          <w:rFonts w:asciiTheme="majorHAnsi" w:eastAsia="Times New Roman" w:hAnsiTheme="majorHAnsi" w:cs="Times New Roman"/>
        </w:rPr>
        <w:t xml:space="preserve"> z důvodu jednotného dohledu a správy</w:t>
      </w:r>
      <w:r w:rsidR="00146B61">
        <w:rPr>
          <w:rFonts w:asciiTheme="majorHAnsi" w:eastAsia="Times New Roman" w:hAnsiTheme="majorHAnsi" w:cs="Times New Roman"/>
        </w:rPr>
        <w:t xml:space="preserve"> telefonních systémů</w:t>
      </w:r>
      <w:r w:rsidRPr="00380F2D">
        <w:rPr>
          <w:rFonts w:asciiTheme="majorHAnsi" w:eastAsia="Times New Roman" w:hAnsiTheme="majorHAnsi" w:cs="Times New Roman"/>
        </w:rPr>
        <w:t>, kter</w:t>
      </w:r>
      <w:r w:rsidR="009C4E78">
        <w:rPr>
          <w:rFonts w:asciiTheme="majorHAnsi" w:eastAsia="Times New Roman" w:hAnsiTheme="majorHAnsi" w:cs="Times New Roman"/>
        </w:rPr>
        <w:t>é</w:t>
      </w:r>
      <w:r w:rsidRPr="00380F2D">
        <w:rPr>
          <w:rFonts w:asciiTheme="majorHAnsi" w:eastAsia="Times New Roman" w:hAnsiTheme="majorHAnsi" w:cs="Times New Roman"/>
        </w:rPr>
        <w:t xml:space="preserve"> již </w:t>
      </w:r>
      <w:r w:rsidR="00643820">
        <w:rPr>
          <w:rFonts w:asciiTheme="majorHAnsi" w:eastAsia="Times New Roman" w:hAnsiTheme="majorHAnsi" w:cs="Times New Roman"/>
        </w:rPr>
        <w:t>SŽ</w:t>
      </w:r>
      <w:r w:rsidRPr="00380F2D">
        <w:rPr>
          <w:rFonts w:asciiTheme="majorHAnsi" w:eastAsia="Times New Roman" w:hAnsiTheme="majorHAnsi" w:cs="Times New Roman"/>
        </w:rPr>
        <w:t xml:space="preserve"> provozuje.</w:t>
      </w:r>
    </w:p>
    <w:p w14:paraId="605A7D2C" w14:textId="6B3198F3" w:rsidR="00D853F2" w:rsidRDefault="006C73F7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6C73F7">
        <w:rPr>
          <w:rFonts w:asciiTheme="majorHAnsi" w:eastAsia="Times New Roman" w:hAnsiTheme="majorHAnsi" w:cs="Times New Roman"/>
        </w:rPr>
        <w:t xml:space="preserve">Je požadována plná kompatibilita se systémy provozovanými v tranzitní telefonní síti SŽ, </w:t>
      </w:r>
      <w:proofErr w:type="spellStart"/>
      <w:r w:rsidRPr="006C73F7">
        <w:rPr>
          <w:rFonts w:asciiTheme="majorHAnsi" w:eastAsia="Times New Roman" w:hAnsiTheme="majorHAnsi" w:cs="Times New Roman"/>
        </w:rPr>
        <w:t>Mitel</w:t>
      </w:r>
      <w:proofErr w:type="spellEnd"/>
      <w:r w:rsidRPr="006C73F7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6C73F7">
        <w:rPr>
          <w:rFonts w:asciiTheme="majorHAnsi" w:eastAsia="Times New Roman" w:hAnsiTheme="majorHAnsi" w:cs="Times New Roman"/>
        </w:rPr>
        <w:t>MiVoice</w:t>
      </w:r>
      <w:proofErr w:type="spellEnd"/>
      <w:r w:rsidRPr="006C73F7">
        <w:rPr>
          <w:rFonts w:asciiTheme="majorHAnsi" w:eastAsia="Times New Roman" w:hAnsiTheme="majorHAnsi" w:cs="Times New Roman"/>
        </w:rPr>
        <w:t xml:space="preserve"> MX-ONE, z</w:t>
      </w:r>
      <w:r w:rsidR="008168FB">
        <w:rPr>
          <w:rFonts w:asciiTheme="majorHAnsi" w:eastAsia="Times New Roman" w:hAnsiTheme="majorHAnsi" w:cs="Times New Roman"/>
        </w:rPr>
        <w:t xml:space="preserve"> důvodu </w:t>
      </w:r>
      <w:r w:rsidRPr="006C73F7">
        <w:rPr>
          <w:rFonts w:asciiTheme="majorHAnsi" w:eastAsia="Times New Roman" w:hAnsiTheme="majorHAnsi" w:cs="Times New Roman"/>
        </w:rPr>
        <w:t>začlenění systému do bloku ústředen telefonního uzlu Praha, který již SŽ provozuje.</w:t>
      </w:r>
    </w:p>
    <w:p w14:paraId="30F76E98" w14:textId="77777777" w:rsidR="00380F2D" w:rsidRP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 xml:space="preserve">Je požadována plná kompatibilita se systémem </w:t>
      </w:r>
      <w:proofErr w:type="spellStart"/>
      <w:r w:rsidRPr="00380F2D">
        <w:rPr>
          <w:rFonts w:asciiTheme="majorHAnsi" w:eastAsia="Times New Roman" w:hAnsiTheme="majorHAnsi" w:cs="Times New Roman"/>
        </w:rPr>
        <w:t>Mitel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380F2D">
        <w:rPr>
          <w:rFonts w:asciiTheme="majorHAnsi" w:eastAsia="Times New Roman" w:hAnsiTheme="majorHAnsi" w:cs="Times New Roman"/>
        </w:rPr>
        <w:t>Border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GW pro potřeby zakončení SIP </w:t>
      </w:r>
      <w:proofErr w:type="spellStart"/>
      <w:r w:rsidRPr="00380F2D">
        <w:rPr>
          <w:rFonts w:asciiTheme="majorHAnsi" w:eastAsia="Times New Roman" w:hAnsiTheme="majorHAnsi" w:cs="Times New Roman"/>
        </w:rPr>
        <w:t>trunků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a podporu vzdálených uživatelů.</w:t>
      </w:r>
    </w:p>
    <w:p w14:paraId="1F5A7E1C" w14:textId="77777777" w:rsidR="00380F2D" w:rsidRP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Nabízený systém musí být možné případně rozšířit o další řešení a funkce:</w:t>
      </w:r>
    </w:p>
    <w:p w14:paraId="6DA4B72F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r w:rsidRPr="004F41AF">
        <w:rPr>
          <w:rFonts w:asciiTheme="majorHAnsi" w:eastAsia="Times New Roman" w:hAnsiTheme="majorHAnsi" w:cs="Times New Roman"/>
          <w:b/>
        </w:rPr>
        <w:t>Call centrum</w:t>
      </w:r>
      <w:r w:rsidRPr="00380F2D">
        <w:rPr>
          <w:rFonts w:asciiTheme="majorHAnsi" w:eastAsia="Times New Roman" w:hAnsiTheme="majorHAnsi" w:cs="Times New Roman"/>
        </w:rPr>
        <w:t xml:space="preserve"> – Řešení pro potřeby ServiceDesku SŽ. Vyžadované jsou funkce IVR, aplikace pro klienty s integrovaným </w:t>
      </w:r>
      <w:proofErr w:type="spellStart"/>
      <w:r w:rsidRPr="00380F2D">
        <w:rPr>
          <w:rFonts w:asciiTheme="majorHAnsi" w:eastAsia="Times New Roman" w:hAnsiTheme="majorHAnsi" w:cs="Times New Roman"/>
        </w:rPr>
        <w:t>softphone</w:t>
      </w:r>
      <w:proofErr w:type="spellEnd"/>
      <w:r w:rsidRPr="00380F2D">
        <w:rPr>
          <w:rFonts w:asciiTheme="majorHAnsi" w:eastAsia="Times New Roman" w:hAnsiTheme="majorHAnsi" w:cs="Times New Roman"/>
        </w:rPr>
        <w:t>, pokročilý reporting.</w:t>
      </w:r>
    </w:p>
    <w:p w14:paraId="63147D0F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proofErr w:type="spellStart"/>
      <w:r w:rsidRPr="004F41AF">
        <w:rPr>
          <w:rFonts w:asciiTheme="majorHAnsi" w:eastAsia="Times New Roman" w:hAnsiTheme="majorHAnsi" w:cs="Times New Roman"/>
          <w:b/>
        </w:rPr>
        <w:t>Collaboration</w:t>
      </w:r>
      <w:proofErr w:type="spellEnd"/>
      <w:r w:rsidRPr="004F41AF">
        <w:rPr>
          <w:rFonts w:asciiTheme="majorHAnsi" w:eastAsia="Times New Roman" w:hAnsiTheme="majorHAnsi" w:cs="Times New Roman"/>
          <w:b/>
        </w:rPr>
        <w:t xml:space="preserve"> </w:t>
      </w:r>
      <w:r w:rsidRPr="00380F2D">
        <w:rPr>
          <w:rFonts w:asciiTheme="majorHAnsi" w:eastAsia="Times New Roman" w:hAnsiTheme="majorHAnsi" w:cs="Times New Roman"/>
        </w:rPr>
        <w:t xml:space="preserve">– Je vyžadována klientská aplikace pro PC a mobilní telefony s možností chatu, videohovorů, videokonference, ovládání HW telefonu (CTI). </w:t>
      </w:r>
    </w:p>
    <w:p w14:paraId="240E9360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r w:rsidRPr="004F41AF">
        <w:rPr>
          <w:rFonts w:asciiTheme="majorHAnsi" w:eastAsia="Times New Roman" w:hAnsiTheme="majorHAnsi" w:cs="Times New Roman"/>
          <w:b/>
        </w:rPr>
        <w:t>Konfigurační a dohledový nástroj</w:t>
      </w:r>
      <w:r w:rsidRPr="00380F2D">
        <w:rPr>
          <w:rFonts w:asciiTheme="majorHAnsi" w:eastAsia="Times New Roman" w:hAnsiTheme="majorHAnsi" w:cs="Times New Roman"/>
        </w:rPr>
        <w:t xml:space="preserve"> včetně správy telefonního seznamu a tarifikace.</w:t>
      </w:r>
    </w:p>
    <w:p w14:paraId="5E388511" w14:textId="77777777" w:rsidR="00380F2D" w:rsidRP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r w:rsidRPr="004F41AF">
        <w:rPr>
          <w:rFonts w:asciiTheme="majorHAnsi" w:eastAsia="Times New Roman" w:hAnsiTheme="majorHAnsi" w:cs="Times New Roman"/>
          <w:b/>
        </w:rPr>
        <w:t>Dispečerské řešení</w:t>
      </w:r>
    </w:p>
    <w:p w14:paraId="3955CA0C" w14:textId="4E14FD01" w:rsidR="00380F2D" w:rsidRDefault="00380F2D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r w:rsidR="00E53DFF">
        <w:rPr>
          <w:rFonts w:asciiTheme="majorHAnsi" w:eastAsia="Times New Roman" w:hAnsiTheme="majorHAnsi" w:cs="Times New Roman"/>
        </w:rPr>
        <w:t>Součástí dodávky budou i</w:t>
      </w:r>
      <w:r w:rsidRPr="00380F2D">
        <w:rPr>
          <w:rFonts w:asciiTheme="majorHAnsi" w:eastAsia="Times New Roman" w:hAnsiTheme="majorHAnsi" w:cs="Times New Roman"/>
        </w:rPr>
        <w:t xml:space="preserve"> názvy a popis všech </w:t>
      </w:r>
      <w:r w:rsidR="00E53DFF">
        <w:rPr>
          <w:rFonts w:asciiTheme="majorHAnsi" w:eastAsia="Times New Roman" w:hAnsiTheme="majorHAnsi" w:cs="Times New Roman"/>
        </w:rPr>
        <w:t>dodávaných</w:t>
      </w:r>
      <w:r w:rsidR="00E53DFF" w:rsidRPr="00380F2D">
        <w:rPr>
          <w:rFonts w:asciiTheme="majorHAnsi" w:eastAsia="Times New Roman" w:hAnsiTheme="majorHAnsi" w:cs="Times New Roman"/>
        </w:rPr>
        <w:t xml:space="preserve"> </w:t>
      </w:r>
      <w:r w:rsidRPr="00380F2D">
        <w:rPr>
          <w:rFonts w:asciiTheme="majorHAnsi" w:eastAsia="Times New Roman" w:hAnsiTheme="majorHAnsi" w:cs="Times New Roman"/>
        </w:rPr>
        <w:t>rozšiřujících systémů (</w:t>
      </w:r>
      <w:r w:rsidR="00E53DFF">
        <w:rPr>
          <w:rFonts w:asciiTheme="majorHAnsi" w:eastAsia="Times New Roman" w:hAnsiTheme="majorHAnsi" w:cs="Times New Roman"/>
        </w:rPr>
        <w:t xml:space="preserve">např. </w:t>
      </w:r>
      <w:r w:rsidRPr="00380F2D">
        <w:rPr>
          <w:rFonts w:asciiTheme="majorHAnsi" w:eastAsia="Times New Roman" w:hAnsiTheme="majorHAnsi" w:cs="Times New Roman"/>
        </w:rPr>
        <w:t xml:space="preserve">Call Centrum, </w:t>
      </w:r>
      <w:proofErr w:type="spellStart"/>
      <w:r w:rsidRPr="00380F2D">
        <w:rPr>
          <w:rFonts w:asciiTheme="majorHAnsi" w:eastAsia="Times New Roman" w:hAnsiTheme="majorHAnsi" w:cs="Times New Roman"/>
        </w:rPr>
        <w:t>Callaboration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, Konfigurace a dohled, Dispečerské řešení) </w:t>
      </w:r>
      <w:bookmarkStart w:id="4" w:name="_Hlk124777999"/>
      <w:r w:rsidRPr="00380F2D">
        <w:rPr>
          <w:rFonts w:asciiTheme="majorHAnsi" w:eastAsia="Times New Roman" w:hAnsiTheme="majorHAnsi" w:cs="Times New Roman"/>
        </w:rPr>
        <w:t>včetně výčtu dostupných funkcí.</w:t>
      </w:r>
    </w:p>
    <w:p w14:paraId="46138494" w14:textId="67384867" w:rsidR="00C05E2F" w:rsidRPr="00380F2D" w:rsidRDefault="00C05E2F" w:rsidP="0082722F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bookmarkStart w:id="5" w:name="_Hlk124778050"/>
      <w:r>
        <w:rPr>
          <w:rFonts w:asciiTheme="majorHAnsi" w:eastAsia="Times New Roman" w:hAnsiTheme="majorHAnsi" w:cs="Times New Roman"/>
        </w:rPr>
        <w:t>Součástí dodávky</w:t>
      </w:r>
      <w:r w:rsidRPr="00380F2D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telefonní ústředny</w:t>
      </w:r>
      <w:r w:rsidRPr="00380F2D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jsou</w:t>
      </w:r>
      <w:r w:rsidRPr="00380F2D">
        <w:rPr>
          <w:rFonts w:asciiTheme="majorHAnsi" w:eastAsia="Times New Roman" w:hAnsiTheme="majorHAnsi" w:cs="Times New Roman"/>
        </w:rPr>
        <w:t xml:space="preserve"> i všechny potřebné licenc</w:t>
      </w:r>
      <w:r>
        <w:rPr>
          <w:rFonts w:asciiTheme="majorHAnsi" w:eastAsia="Times New Roman" w:hAnsiTheme="majorHAnsi" w:cs="Times New Roman"/>
        </w:rPr>
        <w:t>e výrobce, na období 3 let a stejně tak i podpora</w:t>
      </w:r>
      <w:r w:rsidRPr="00380F2D">
        <w:rPr>
          <w:rFonts w:asciiTheme="majorHAnsi" w:eastAsia="Times New Roman" w:hAnsiTheme="majorHAnsi" w:cs="Times New Roman"/>
        </w:rPr>
        <w:t xml:space="preserve"> výrobce na 3 roky</w:t>
      </w:r>
      <w:r w:rsidRPr="007B142B">
        <w:rPr>
          <w:noProof/>
        </w:rPr>
        <w:t xml:space="preserve"> </w:t>
      </w:r>
      <w:r>
        <w:rPr>
          <w:noProof/>
        </w:rPr>
        <w:t>od dodání a akceptace Hardware</w:t>
      </w:r>
      <w:r w:rsidRPr="00380F2D">
        <w:rPr>
          <w:rFonts w:asciiTheme="majorHAnsi" w:eastAsia="Times New Roman" w:hAnsiTheme="majorHAnsi" w:cs="Times New Roman"/>
        </w:rPr>
        <w:t>.</w:t>
      </w:r>
    </w:p>
    <w:bookmarkEnd w:id="4"/>
    <w:bookmarkEnd w:id="5"/>
    <w:p w14:paraId="20FFFF34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</w:p>
    <w:p w14:paraId="17EE3E97" w14:textId="77777777" w:rsidR="00380F2D" w:rsidRPr="004F41AF" w:rsidRDefault="00380F2D" w:rsidP="004F41AF">
      <w:pPr>
        <w:keepNext/>
        <w:numPr>
          <w:ilvl w:val="1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F41AF">
        <w:rPr>
          <w:rFonts w:asciiTheme="majorHAnsi" w:eastAsia="Times New Roman" w:hAnsiTheme="majorHAnsi" w:cs="Arial"/>
          <w:b/>
          <w:bCs/>
          <w:caps/>
          <w:kern w:val="32"/>
        </w:rPr>
        <w:t>Funkční požadavky na telefonní přístroje</w:t>
      </w:r>
    </w:p>
    <w:p w14:paraId="29E3F263" w14:textId="5EC689EE" w:rsidR="00380F2D" w:rsidRPr="00380F2D" w:rsidRDefault="00F908DC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Kupující</w:t>
      </w:r>
      <w:r w:rsidR="00380F2D" w:rsidRPr="00380F2D">
        <w:rPr>
          <w:rFonts w:asciiTheme="majorHAnsi" w:eastAsia="Times New Roman" w:hAnsiTheme="majorHAnsi" w:cs="Times New Roman"/>
        </w:rPr>
        <w:t xml:space="preserve"> požaduje registraci vybraných nově dodaných VoIP telefonních přístrojů na stávající ústřednu SŽ v uzlu Praha jako záložní řešení pro případ výpadku dodávané telefonní ústředny pro GŘ SŽ v lokalitě Dlážděná. Z tohoto důvodu je požadována kompatibilita nabízených telefonních přístrojů s ústřednami SŽ v telefonním uzlu Praha.</w:t>
      </w:r>
    </w:p>
    <w:p w14:paraId="28D6770A" w14:textId="5611204C" w:rsidR="00380F2D" w:rsidRDefault="00380F2D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lastRenderedPageBreak/>
        <w:t xml:space="preserve">Telefonní přístroje musí splnit následující požadavky </w:t>
      </w:r>
      <w:r w:rsidR="00F908DC">
        <w:rPr>
          <w:rFonts w:asciiTheme="majorHAnsi" w:eastAsia="Times New Roman" w:hAnsiTheme="majorHAnsi" w:cs="Times New Roman"/>
        </w:rPr>
        <w:t>kupujícího</w:t>
      </w:r>
      <w:r w:rsidRPr="00380F2D">
        <w:rPr>
          <w:rFonts w:asciiTheme="majorHAnsi" w:eastAsia="Times New Roman" w:hAnsiTheme="majorHAnsi" w:cs="Times New Roman"/>
        </w:rPr>
        <w:t>:</w:t>
      </w:r>
    </w:p>
    <w:p w14:paraId="6A10F293" w14:textId="77777777" w:rsidR="00643820" w:rsidRPr="00380F2D" w:rsidRDefault="00643820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</w:p>
    <w:p w14:paraId="46A18184" w14:textId="77777777" w:rsidR="00380F2D" w:rsidRPr="00643820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</w:rPr>
      </w:pPr>
      <w:r w:rsidRPr="00643820">
        <w:rPr>
          <w:rFonts w:asciiTheme="majorHAnsi" w:eastAsia="Times New Roman" w:hAnsiTheme="majorHAnsi" w:cs="Times New Roman"/>
          <w:b/>
        </w:rPr>
        <w:t>Manažerský telefon</w:t>
      </w:r>
    </w:p>
    <w:p w14:paraId="3CF27859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Minimálně 7" barevný dotykový displej</w:t>
      </w:r>
    </w:p>
    <w:p w14:paraId="3CFFCE8A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Bezdrátové sluchátko</w:t>
      </w:r>
    </w:p>
    <w:p w14:paraId="3CA366AA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Možnost bluetooth konektivity s mobilním telefonem</w:t>
      </w:r>
    </w:p>
    <w:p w14:paraId="63A65C20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Podpora rozšiřujících panelů s LCD displejem a minimálně 24 tlačítky</w:t>
      </w:r>
    </w:p>
    <w:p w14:paraId="002925B3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2x Gigabit RJ45 připojení (možnost připojení uživatelského PC)</w:t>
      </w:r>
    </w:p>
    <w:p w14:paraId="4597F0FC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Podpora USB náhlavní soupravy</w:t>
      </w:r>
    </w:p>
    <w:p w14:paraId="7104CCC9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Napájení </w:t>
      </w:r>
      <w:proofErr w:type="spellStart"/>
      <w:r w:rsidRPr="00380F2D">
        <w:rPr>
          <w:rFonts w:asciiTheme="majorHAnsi" w:eastAsia="Times New Roman" w:hAnsiTheme="majorHAnsi" w:cs="Times New Roman"/>
        </w:rPr>
        <w:t>PoE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dle standardu 802.3af/</w:t>
      </w:r>
      <w:proofErr w:type="spellStart"/>
      <w:r w:rsidRPr="00380F2D">
        <w:rPr>
          <w:rFonts w:asciiTheme="majorHAnsi" w:eastAsia="Times New Roman" w:hAnsiTheme="majorHAnsi" w:cs="Times New Roman"/>
        </w:rPr>
        <w:t>at</w:t>
      </w:r>
      <w:proofErr w:type="spellEnd"/>
      <w:r w:rsidRPr="00380F2D">
        <w:rPr>
          <w:rFonts w:asciiTheme="majorHAnsi" w:eastAsia="Times New Roman" w:hAnsiTheme="majorHAnsi" w:cs="Times New Roman"/>
        </w:rPr>
        <w:t>/</w:t>
      </w:r>
      <w:proofErr w:type="spellStart"/>
      <w:r w:rsidRPr="00380F2D">
        <w:rPr>
          <w:rFonts w:asciiTheme="majorHAnsi" w:eastAsia="Times New Roman" w:hAnsiTheme="majorHAnsi" w:cs="Times New Roman"/>
        </w:rPr>
        <w:t>bt</w:t>
      </w:r>
      <w:proofErr w:type="spellEnd"/>
    </w:p>
    <w:p w14:paraId="6031300E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Možnost napájení z dodaného napájecího adaptéru</w:t>
      </w:r>
    </w:p>
    <w:p w14:paraId="5A0D7ECC" w14:textId="77777777" w:rsidR="00380F2D" w:rsidRPr="00643820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</w:rPr>
      </w:pPr>
      <w:r w:rsidRPr="00643820">
        <w:rPr>
          <w:rFonts w:asciiTheme="majorHAnsi" w:eastAsia="Times New Roman" w:hAnsiTheme="majorHAnsi" w:cs="Times New Roman"/>
          <w:b/>
        </w:rPr>
        <w:t>Střední telefon</w:t>
      </w:r>
    </w:p>
    <w:p w14:paraId="52C63FA9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Minimálně 4" barevný displej</w:t>
      </w:r>
    </w:p>
    <w:p w14:paraId="1A851149" w14:textId="3F0D20A3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r w:rsidR="00CC7608">
        <w:rPr>
          <w:rFonts w:asciiTheme="majorHAnsi" w:eastAsia="Times New Roman" w:hAnsiTheme="majorHAnsi" w:cs="Times New Roman"/>
        </w:rPr>
        <w:t>M</w:t>
      </w:r>
      <w:r w:rsidR="00FB08BA">
        <w:rPr>
          <w:rFonts w:asciiTheme="majorHAnsi" w:eastAsia="Times New Roman" w:hAnsiTheme="majorHAnsi" w:cs="Times New Roman"/>
        </w:rPr>
        <w:t xml:space="preserve">inimálně </w:t>
      </w:r>
      <w:r w:rsidRPr="00380F2D">
        <w:rPr>
          <w:rFonts w:asciiTheme="majorHAnsi" w:eastAsia="Times New Roman" w:hAnsiTheme="majorHAnsi" w:cs="Times New Roman"/>
        </w:rPr>
        <w:t>12 programovatelných tlačítek</w:t>
      </w:r>
    </w:p>
    <w:p w14:paraId="7DF4DDA8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Možnost bluetooth konektivity s mobilním telefonem</w:t>
      </w:r>
    </w:p>
    <w:p w14:paraId="35E86274" w14:textId="11D6964D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Podpora rozšiřujících panelů s LCD displejem </w:t>
      </w:r>
      <w:r w:rsidRPr="00F55193">
        <w:rPr>
          <w:rFonts w:asciiTheme="majorHAnsi" w:eastAsia="Times New Roman" w:hAnsiTheme="majorHAnsi" w:cs="Times New Roman"/>
        </w:rPr>
        <w:t xml:space="preserve">a minimálně 24 </w:t>
      </w:r>
      <w:r w:rsidR="00FB08BA" w:rsidRPr="00F55193">
        <w:rPr>
          <w:rFonts w:asciiTheme="majorHAnsi" w:eastAsia="Times New Roman" w:hAnsiTheme="majorHAnsi" w:cs="Times New Roman"/>
        </w:rPr>
        <w:t xml:space="preserve">programovatelnými </w:t>
      </w:r>
      <w:r w:rsidRPr="00F55193">
        <w:rPr>
          <w:rFonts w:asciiTheme="majorHAnsi" w:eastAsia="Times New Roman" w:hAnsiTheme="majorHAnsi" w:cs="Times New Roman"/>
        </w:rPr>
        <w:t>tlačítky</w:t>
      </w:r>
    </w:p>
    <w:p w14:paraId="2F15CFB0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2x Gigabit RJ45 připojení (možnost připojení uživatelského PC)</w:t>
      </w:r>
    </w:p>
    <w:p w14:paraId="72CD5AB7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Podpora USB náhlavní soupravy</w:t>
      </w:r>
    </w:p>
    <w:p w14:paraId="4B1E1F22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Napájení </w:t>
      </w:r>
      <w:proofErr w:type="spellStart"/>
      <w:r w:rsidRPr="00380F2D">
        <w:rPr>
          <w:rFonts w:asciiTheme="majorHAnsi" w:eastAsia="Times New Roman" w:hAnsiTheme="majorHAnsi" w:cs="Times New Roman"/>
        </w:rPr>
        <w:t>PoE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dle standardu 802.3af/</w:t>
      </w:r>
      <w:proofErr w:type="spellStart"/>
      <w:r w:rsidRPr="00380F2D">
        <w:rPr>
          <w:rFonts w:asciiTheme="majorHAnsi" w:eastAsia="Times New Roman" w:hAnsiTheme="majorHAnsi" w:cs="Times New Roman"/>
        </w:rPr>
        <w:t>at</w:t>
      </w:r>
      <w:proofErr w:type="spellEnd"/>
      <w:r w:rsidRPr="00380F2D">
        <w:rPr>
          <w:rFonts w:asciiTheme="majorHAnsi" w:eastAsia="Times New Roman" w:hAnsiTheme="majorHAnsi" w:cs="Times New Roman"/>
        </w:rPr>
        <w:t>/</w:t>
      </w:r>
      <w:proofErr w:type="spellStart"/>
      <w:r w:rsidRPr="00380F2D">
        <w:rPr>
          <w:rFonts w:asciiTheme="majorHAnsi" w:eastAsia="Times New Roman" w:hAnsiTheme="majorHAnsi" w:cs="Times New Roman"/>
        </w:rPr>
        <w:t>bt</w:t>
      </w:r>
      <w:proofErr w:type="spellEnd"/>
    </w:p>
    <w:p w14:paraId="5D9D308B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Možnost napájení z dodaného napájecího adaptéru</w:t>
      </w:r>
    </w:p>
    <w:p w14:paraId="725C327D" w14:textId="77777777" w:rsidR="00380F2D" w:rsidRPr="00643820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</w:rPr>
      </w:pPr>
      <w:r w:rsidRPr="00643820">
        <w:rPr>
          <w:rFonts w:asciiTheme="majorHAnsi" w:eastAsia="Times New Roman" w:hAnsiTheme="majorHAnsi" w:cs="Times New Roman"/>
          <w:b/>
        </w:rPr>
        <w:t>Základní telefon</w:t>
      </w:r>
    </w:p>
    <w:p w14:paraId="5609D820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Minimálně 3,5" barevný displej</w:t>
      </w:r>
    </w:p>
    <w:p w14:paraId="52B5210F" w14:textId="75A9DD89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</w:r>
      <w:r w:rsidR="00CC7608">
        <w:rPr>
          <w:rFonts w:asciiTheme="majorHAnsi" w:eastAsia="Times New Roman" w:hAnsiTheme="majorHAnsi" w:cs="Times New Roman"/>
        </w:rPr>
        <w:t>M</w:t>
      </w:r>
      <w:r w:rsidR="00FB08BA">
        <w:rPr>
          <w:rFonts w:asciiTheme="majorHAnsi" w:eastAsia="Times New Roman" w:hAnsiTheme="majorHAnsi" w:cs="Times New Roman"/>
        </w:rPr>
        <w:t xml:space="preserve">inimálně </w:t>
      </w:r>
      <w:r w:rsidRPr="00380F2D">
        <w:rPr>
          <w:rFonts w:asciiTheme="majorHAnsi" w:eastAsia="Times New Roman" w:hAnsiTheme="majorHAnsi" w:cs="Times New Roman"/>
        </w:rPr>
        <w:t>6 programovatelných tlačítek</w:t>
      </w:r>
    </w:p>
    <w:p w14:paraId="09C229B3" w14:textId="5D2172BA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Podpora rozšiřujících panelů s </w:t>
      </w:r>
      <w:r w:rsidRPr="00F55193">
        <w:rPr>
          <w:rFonts w:asciiTheme="majorHAnsi" w:eastAsia="Times New Roman" w:hAnsiTheme="majorHAnsi" w:cs="Times New Roman"/>
        </w:rPr>
        <w:t>minimálně 6</w:t>
      </w:r>
      <w:r w:rsidR="00FB08BA" w:rsidRPr="00F55193">
        <w:rPr>
          <w:rFonts w:asciiTheme="majorHAnsi" w:eastAsia="Times New Roman" w:hAnsiTheme="majorHAnsi" w:cs="Times New Roman"/>
        </w:rPr>
        <w:t xml:space="preserve"> programovatelnými</w:t>
      </w:r>
      <w:r w:rsidRPr="00F55193">
        <w:rPr>
          <w:rFonts w:asciiTheme="majorHAnsi" w:eastAsia="Times New Roman" w:hAnsiTheme="majorHAnsi" w:cs="Times New Roman"/>
        </w:rPr>
        <w:t xml:space="preserve"> tlačítky</w:t>
      </w:r>
    </w:p>
    <w:p w14:paraId="78C6650E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2x Gigabit RJ45 připojení (možnost připojení uživatelského PC)</w:t>
      </w:r>
    </w:p>
    <w:p w14:paraId="6E1FD0A8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Podpora USB náhlavní soupravy</w:t>
      </w:r>
    </w:p>
    <w:p w14:paraId="55949F90" w14:textId="77777777" w:rsidR="00380F2D" w:rsidRPr="00380F2D" w:rsidRDefault="00380F2D" w:rsidP="00643820">
      <w:pPr>
        <w:widowControl w:val="0"/>
        <w:numPr>
          <w:ilvl w:val="1"/>
          <w:numId w:val="0"/>
        </w:numPr>
        <w:tabs>
          <w:tab w:val="num" w:pos="709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 xml:space="preserve">Napájení </w:t>
      </w:r>
      <w:proofErr w:type="spellStart"/>
      <w:r w:rsidRPr="00380F2D">
        <w:rPr>
          <w:rFonts w:asciiTheme="majorHAnsi" w:eastAsia="Times New Roman" w:hAnsiTheme="majorHAnsi" w:cs="Times New Roman"/>
        </w:rPr>
        <w:t>PoE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dle standardu 802.3af/</w:t>
      </w:r>
      <w:proofErr w:type="spellStart"/>
      <w:r w:rsidRPr="00380F2D">
        <w:rPr>
          <w:rFonts w:asciiTheme="majorHAnsi" w:eastAsia="Times New Roman" w:hAnsiTheme="majorHAnsi" w:cs="Times New Roman"/>
        </w:rPr>
        <w:t>at</w:t>
      </w:r>
      <w:proofErr w:type="spellEnd"/>
      <w:r w:rsidRPr="00380F2D">
        <w:rPr>
          <w:rFonts w:asciiTheme="majorHAnsi" w:eastAsia="Times New Roman" w:hAnsiTheme="majorHAnsi" w:cs="Times New Roman"/>
        </w:rPr>
        <w:t>/</w:t>
      </w:r>
      <w:proofErr w:type="spellStart"/>
      <w:r w:rsidRPr="00380F2D">
        <w:rPr>
          <w:rFonts w:asciiTheme="majorHAnsi" w:eastAsia="Times New Roman" w:hAnsiTheme="majorHAnsi" w:cs="Times New Roman"/>
        </w:rPr>
        <w:t>bt</w:t>
      </w:r>
      <w:proofErr w:type="spellEnd"/>
    </w:p>
    <w:p w14:paraId="41BA2BC2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Možnost napájení z dodaného napájecího adaptéru</w:t>
      </w:r>
    </w:p>
    <w:p w14:paraId="1E2D8027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</w:p>
    <w:p w14:paraId="529A275E" w14:textId="77777777" w:rsidR="00380F2D" w:rsidRPr="004F41AF" w:rsidRDefault="00380F2D" w:rsidP="004F41AF">
      <w:pPr>
        <w:keepNext/>
        <w:numPr>
          <w:ilvl w:val="1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4F41AF">
        <w:rPr>
          <w:rFonts w:asciiTheme="majorHAnsi" w:eastAsia="Times New Roman" w:hAnsiTheme="majorHAnsi" w:cs="Arial"/>
          <w:b/>
          <w:bCs/>
          <w:caps/>
          <w:kern w:val="32"/>
        </w:rPr>
        <w:t>Funkční požadavky na aktivní síťové prvky</w:t>
      </w:r>
    </w:p>
    <w:p w14:paraId="7EE51AC2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Dodané switche budou využity ve fyzicky oddělené síti (jen pro VoIP telefonii)</w:t>
      </w:r>
    </w:p>
    <w:p w14:paraId="36408DF9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Switche musí obsahovat minimálně 48x port RJ45 (1 Gbps) pro připojení VoIP telefonních přístrojů.</w:t>
      </w:r>
    </w:p>
    <w:p w14:paraId="659348EB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Switche musí obsahovat minimálně 2x port SFP (1 Gbps) pro spojení jednotlivých switchů mezi sebou.</w:t>
      </w:r>
    </w:p>
    <w:p w14:paraId="5E6159CD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Switche musí obsahovat dedikovaný port RJ45 (1 Gbps) pro management síťových prvků.</w:t>
      </w:r>
    </w:p>
    <w:p w14:paraId="57BF0608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PoE switche musí poskytovat napájení na všech portech RJ45 (s výjimkou managementu) v souladu se standardem 802.3at (PoE+) nebo 802.3bt (PoE++).</w:t>
      </w:r>
    </w:p>
    <w:p w14:paraId="565744B6" w14:textId="77E154A0" w:rsid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Každý PoE switch musí disponovat celkovým elektrickým výkonem pro PoE napájení minimálně ve výši 600 W.</w:t>
      </w:r>
    </w:p>
    <w:p w14:paraId="1A786AA0" w14:textId="10A4C62F" w:rsidR="004F7D93" w:rsidRPr="0040535E" w:rsidRDefault="004F7D93" w:rsidP="00643820">
      <w:pPr>
        <w:pStyle w:val="Odstavecseseznamem"/>
        <w:widowControl w:val="0"/>
        <w:numPr>
          <w:ilvl w:val="0"/>
          <w:numId w:val="37"/>
        </w:numPr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40535E">
        <w:rPr>
          <w:rFonts w:asciiTheme="majorHAnsi" w:eastAsia="Times New Roman" w:hAnsiTheme="majorHAnsi" w:cs="Times New Roman"/>
        </w:rPr>
        <w:t xml:space="preserve">Všechny </w:t>
      </w:r>
      <w:proofErr w:type="spellStart"/>
      <w:r w:rsidRPr="0040535E">
        <w:rPr>
          <w:rFonts w:asciiTheme="majorHAnsi" w:eastAsia="Times New Roman" w:hAnsiTheme="majorHAnsi" w:cs="Times New Roman"/>
        </w:rPr>
        <w:t>Switche</w:t>
      </w:r>
      <w:proofErr w:type="spellEnd"/>
      <w:r w:rsidRPr="0040535E">
        <w:rPr>
          <w:rFonts w:asciiTheme="majorHAnsi" w:eastAsia="Times New Roman" w:hAnsiTheme="majorHAnsi" w:cs="Times New Roman"/>
        </w:rPr>
        <w:t xml:space="preserve"> musí být </w:t>
      </w:r>
      <w:r w:rsidR="00FB08BA">
        <w:rPr>
          <w:rFonts w:asciiTheme="majorHAnsi" w:eastAsia="Times New Roman" w:hAnsiTheme="majorHAnsi" w:cs="Times New Roman"/>
        </w:rPr>
        <w:t>plně</w:t>
      </w:r>
      <w:r w:rsidRPr="0040535E">
        <w:rPr>
          <w:rFonts w:asciiTheme="majorHAnsi" w:eastAsia="Times New Roman" w:hAnsiTheme="majorHAnsi" w:cs="Times New Roman"/>
        </w:rPr>
        <w:t xml:space="preserve"> kompatibilní se stávající infrastrukturou Cisco</w:t>
      </w:r>
    </w:p>
    <w:p w14:paraId="6CF3D1DB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•</w:t>
      </w:r>
      <w:r w:rsidRPr="00380F2D">
        <w:rPr>
          <w:rFonts w:asciiTheme="majorHAnsi" w:eastAsia="Times New Roman" w:hAnsiTheme="majorHAnsi" w:cs="Times New Roman"/>
        </w:rPr>
        <w:tab/>
        <w:t>Dodané switche musí být možné začlenit do stávající správy a dohledu datových síti SŽ. V současnosti je v sítích SŽ používána centralizovaná správa založená na Cisco DNA.</w:t>
      </w:r>
    </w:p>
    <w:p w14:paraId="60C6B34C" w14:textId="436A440D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lastRenderedPageBreak/>
        <w:t>•</w:t>
      </w:r>
      <w:r w:rsidRPr="00380F2D">
        <w:rPr>
          <w:rFonts w:asciiTheme="majorHAnsi" w:eastAsia="Times New Roman" w:hAnsiTheme="majorHAnsi" w:cs="Times New Roman"/>
        </w:rPr>
        <w:tab/>
      </w:r>
      <w:r w:rsidR="00606C48">
        <w:rPr>
          <w:rFonts w:asciiTheme="majorHAnsi" w:eastAsia="Times New Roman" w:hAnsiTheme="majorHAnsi" w:cs="Times New Roman"/>
        </w:rPr>
        <w:t>Součástí dodávky</w:t>
      </w:r>
      <w:r w:rsidRPr="00380F2D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380F2D">
        <w:rPr>
          <w:rFonts w:asciiTheme="majorHAnsi" w:eastAsia="Times New Roman" w:hAnsiTheme="majorHAnsi" w:cs="Times New Roman"/>
        </w:rPr>
        <w:t>dodávky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380F2D">
        <w:rPr>
          <w:rFonts w:asciiTheme="majorHAnsi" w:eastAsia="Times New Roman" w:hAnsiTheme="majorHAnsi" w:cs="Times New Roman"/>
        </w:rPr>
        <w:t>switchů</w:t>
      </w:r>
      <w:proofErr w:type="spellEnd"/>
      <w:r w:rsidRPr="00380F2D">
        <w:rPr>
          <w:rFonts w:asciiTheme="majorHAnsi" w:eastAsia="Times New Roman" w:hAnsiTheme="majorHAnsi" w:cs="Times New Roman"/>
        </w:rPr>
        <w:t xml:space="preserve"> </w:t>
      </w:r>
      <w:r w:rsidR="00606C48">
        <w:rPr>
          <w:rFonts w:asciiTheme="majorHAnsi" w:eastAsia="Times New Roman" w:hAnsiTheme="majorHAnsi" w:cs="Times New Roman"/>
        </w:rPr>
        <w:t>jsou</w:t>
      </w:r>
      <w:r w:rsidRPr="00380F2D">
        <w:rPr>
          <w:rFonts w:asciiTheme="majorHAnsi" w:eastAsia="Times New Roman" w:hAnsiTheme="majorHAnsi" w:cs="Times New Roman"/>
        </w:rPr>
        <w:t xml:space="preserve"> i všechny potřebné licenc</w:t>
      </w:r>
      <w:r w:rsidR="00606C48">
        <w:rPr>
          <w:rFonts w:asciiTheme="majorHAnsi" w:eastAsia="Times New Roman" w:hAnsiTheme="majorHAnsi" w:cs="Times New Roman"/>
        </w:rPr>
        <w:t>e výrobce</w:t>
      </w:r>
      <w:r w:rsidR="00E03CBA">
        <w:rPr>
          <w:rFonts w:asciiTheme="majorHAnsi" w:eastAsia="Times New Roman" w:hAnsiTheme="majorHAnsi" w:cs="Times New Roman"/>
        </w:rPr>
        <w:t>,</w:t>
      </w:r>
      <w:r w:rsidR="00606C48">
        <w:rPr>
          <w:rFonts w:asciiTheme="majorHAnsi" w:eastAsia="Times New Roman" w:hAnsiTheme="majorHAnsi" w:cs="Times New Roman"/>
        </w:rPr>
        <w:t xml:space="preserve"> </w:t>
      </w:r>
      <w:r w:rsidR="00E03CBA">
        <w:rPr>
          <w:rFonts w:asciiTheme="majorHAnsi" w:eastAsia="Times New Roman" w:hAnsiTheme="majorHAnsi" w:cs="Times New Roman"/>
        </w:rPr>
        <w:t xml:space="preserve">na období 3 let </w:t>
      </w:r>
      <w:r w:rsidR="00606C48">
        <w:rPr>
          <w:rFonts w:asciiTheme="majorHAnsi" w:eastAsia="Times New Roman" w:hAnsiTheme="majorHAnsi" w:cs="Times New Roman"/>
        </w:rPr>
        <w:t>a stejně tak i podpora</w:t>
      </w:r>
      <w:r w:rsidRPr="00380F2D">
        <w:rPr>
          <w:rFonts w:asciiTheme="majorHAnsi" w:eastAsia="Times New Roman" w:hAnsiTheme="majorHAnsi" w:cs="Times New Roman"/>
        </w:rPr>
        <w:t xml:space="preserve"> výrobce na 3 roky</w:t>
      </w:r>
      <w:r w:rsidR="007B142B" w:rsidRPr="007B142B">
        <w:rPr>
          <w:noProof/>
        </w:rPr>
        <w:t xml:space="preserve"> </w:t>
      </w:r>
      <w:r w:rsidR="007B142B">
        <w:rPr>
          <w:noProof/>
        </w:rPr>
        <w:t xml:space="preserve">od dodání a akceptace </w:t>
      </w:r>
      <w:r w:rsidR="00690D0C">
        <w:rPr>
          <w:noProof/>
        </w:rPr>
        <w:t>H</w:t>
      </w:r>
      <w:r w:rsidR="007B142B">
        <w:rPr>
          <w:noProof/>
        </w:rPr>
        <w:t>ardware</w:t>
      </w:r>
      <w:r w:rsidRPr="00380F2D">
        <w:rPr>
          <w:rFonts w:asciiTheme="majorHAnsi" w:eastAsia="Times New Roman" w:hAnsiTheme="majorHAnsi" w:cs="Times New Roman"/>
        </w:rPr>
        <w:t>.</w:t>
      </w:r>
    </w:p>
    <w:p w14:paraId="27DF4E00" w14:textId="77777777" w:rsidR="00087D48" w:rsidRPr="00380F2D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 xml:space="preserve">kvalita a specifikace Hardware: </w:t>
      </w:r>
      <w:r w:rsidRPr="00380F2D">
        <w:rPr>
          <w:rFonts w:asciiTheme="majorHAnsi" w:eastAsia="Times New Roman" w:hAnsiTheme="majorHAnsi" w:cs="Times New Roman"/>
          <w:highlight w:val="green"/>
        </w:rPr>
        <w:t>[</w:t>
      </w:r>
      <w:r w:rsidRPr="00380F2D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380F2D">
        <w:rPr>
          <w:rFonts w:asciiTheme="majorHAnsi" w:eastAsia="Times New Roman" w:hAnsiTheme="majorHAnsi" w:cs="Times New Roman"/>
          <w:highlight w:val="green"/>
        </w:rPr>
        <w:t>]</w:t>
      </w:r>
    </w:p>
    <w:p w14:paraId="3CC026A0" w14:textId="77777777" w:rsidR="00087D48" w:rsidRPr="00380F2D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380F2D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380F2D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380F2D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380F2D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380F2D">
        <w:rPr>
          <w:rFonts w:asciiTheme="majorHAnsi" w:eastAsia="Times New Roman" w:hAnsiTheme="majorHAnsi" w:cs="Times New Roman"/>
          <w:highlight w:val="green"/>
        </w:rPr>
        <w:t>]</w:t>
      </w:r>
    </w:p>
    <w:p w14:paraId="32968CAF" w14:textId="77777777" w:rsidR="00087D48" w:rsidRPr="00380F2D" w:rsidRDefault="00087D48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 xml:space="preserve">Prodávající je povinen předat Kupujícímu spolu s Hardware doklady, které jsou nutné k převzetí a k užívání Hardware, a to: </w:t>
      </w:r>
    </w:p>
    <w:p w14:paraId="549FF721" w14:textId="77777777" w:rsidR="00087D48" w:rsidRPr="00380F2D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technickou dokumentaci Hardware a Software;</w:t>
      </w:r>
    </w:p>
    <w:p w14:paraId="17D899DD" w14:textId="77777777" w:rsidR="00087D48" w:rsidRPr="00380F2D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návod k obsluze;</w:t>
      </w:r>
    </w:p>
    <w:p w14:paraId="6B9363D6" w14:textId="77777777" w:rsidR="00087D48" w:rsidRPr="00380F2D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prohlášení výrobce o shodě;</w:t>
      </w:r>
    </w:p>
    <w:p w14:paraId="1069FD8F" w14:textId="77777777" w:rsidR="00087D48" w:rsidRPr="00380F2D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>Dodací list a záruční list;</w:t>
      </w:r>
    </w:p>
    <w:p w14:paraId="4D311151" w14:textId="77777777" w:rsidR="00087D48" w:rsidRPr="00380F2D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380F2D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380F2D">
        <w:rPr>
          <w:rFonts w:asciiTheme="majorHAnsi" w:eastAsia="Times New Roman" w:hAnsiTheme="majorHAnsi" w:cs="Times New Roman"/>
          <w:highlight w:val="green"/>
        </w:rPr>
        <w:t>[</w:t>
      </w:r>
      <w:r w:rsidRPr="00380F2D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380F2D">
        <w:rPr>
          <w:rFonts w:asciiTheme="majorHAnsi" w:eastAsia="Times New Roman" w:hAnsiTheme="majorHAnsi" w:cs="Times New Roman"/>
          <w:highlight w:val="green"/>
        </w:rPr>
        <w:t>]</w:t>
      </w:r>
      <w:r w:rsidRPr="00380F2D">
        <w:rPr>
          <w:rFonts w:asciiTheme="majorHAnsi" w:eastAsia="Times New Roman" w:hAnsiTheme="majorHAnsi" w:cs="Times New Roman"/>
        </w:rPr>
        <w:t>.</w:t>
      </w:r>
    </w:p>
    <w:p w14:paraId="6E723D5E" w14:textId="3F5BFFD4" w:rsidR="00087D48" w:rsidRPr="00380F2D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6" w:name="_Toc517632207"/>
      <w:bookmarkStart w:id="7" w:name="_Toc517978984"/>
      <w:bookmarkStart w:id="8" w:name="_Toc518251181"/>
      <w:bookmarkStart w:id="9" w:name="_Toc533063757"/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>Instalace</w:t>
      </w:r>
      <w:r w:rsidR="00F908DC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>hardware</w:t>
      </w:r>
      <w:bookmarkEnd w:id="6"/>
      <w:bookmarkEnd w:id="7"/>
      <w:bookmarkEnd w:id="8"/>
      <w:bookmarkEnd w:id="9"/>
    </w:p>
    <w:p w14:paraId="7D4DE50A" w14:textId="354F44BA" w:rsidR="00D853F2" w:rsidRDefault="00567DC9" w:rsidP="00567DC9">
      <w:pPr>
        <w:rPr>
          <w:noProof/>
        </w:rPr>
      </w:pPr>
      <w:bookmarkStart w:id="10" w:name="_Hlk124515523"/>
      <w:r>
        <w:rPr>
          <w:noProof/>
        </w:rPr>
        <w:t xml:space="preserve">Součástí plnění je  instalace systému dle požadavků </w:t>
      </w:r>
      <w:r w:rsidR="008C48EF">
        <w:rPr>
          <w:noProof/>
        </w:rPr>
        <w:t xml:space="preserve">Kupujícího </w:t>
      </w:r>
    </w:p>
    <w:p w14:paraId="60FF0140" w14:textId="15FE3C7E" w:rsidR="00D853F2" w:rsidRDefault="00D853F2" w:rsidP="008C48EF">
      <w:pPr>
        <w:pStyle w:val="Odstavecseseznamem"/>
        <w:numPr>
          <w:ilvl w:val="0"/>
          <w:numId w:val="42"/>
        </w:numPr>
        <w:rPr>
          <w:noProof/>
        </w:rPr>
      </w:pPr>
      <w:r>
        <w:rPr>
          <w:noProof/>
        </w:rPr>
        <w:t xml:space="preserve">Konfigurace </w:t>
      </w:r>
      <w:r w:rsidR="00567DC9">
        <w:rPr>
          <w:noProof/>
        </w:rPr>
        <w:t>(IP adresace, jmenná konvence atd.),</w:t>
      </w:r>
    </w:p>
    <w:p w14:paraId="55637DCC" w14:textId="3D0C5835" w:rsidR="00D853F2" w:rsidRDefault="00D853F2" w:rsidP="008C48EF">
      <w:pPr>
        <w:pStyle w:val="Odstavecseseznamem"/>
        <w:numPr>
          <w:ilvl w:val="0"/>
          <w:numId w:val="42"/>
        </w:numPr>
        <w:rPr>
          <w:noProof/>
        </w:rPr>
      </w:pPr>
      <w:r>
        <w:rPr>
          <w:noProof/>
        </w:rPr>
        <w:t xml:space="preserve">Fyzická instalace v sídle </w:t>
      </w:r>
      <w:r w:rsidR="008C48EF">
        <w:rPr>
          <w:noProof/>
        </w:rPr>
        <w:t>Kupujícího</w:t>
      </w:r>
      <w:r>
        <w:rPr>
          <w:noProof/>
        </w:rPr>
        <w:t>,</w:t>
      </w:r>
    </w:p>
    <w:p w14:paraId="255DD6E7" w14:textId="77777777" w:rsidR="006A0BE8" w:rsidRDefault="00D853F2" w:rsidP="00D853F2">
      <w:pPr>
        <w:pStyle w:val="Odstavecseseznamem"/>
        <w:numPr>
          <w:ilvl w:val="0"/>
          <w:numId w:val="42"/>
        </w:numPr>
        <w:rPr>
          <w:noProof/>
        </w:rPr>
      </w:pPr>
      <w:r>
        <w:rPr>
          <w:noProof/>
        </w:rPr>
        <w:t>Začlenení do tranzitního systému</w:t>
      </w:r>
      <w:r w:rsidR="00567DC9">
        <w:rPr>
          <w:noProof/>
        </w:rPr>
        <w:t xml:space="preserve"> </w:t>
      </w:r>
      <w:r>
        <w:rPr>
          <w:noProof/>
        </w:rPr>
        <w:t>telefonních ústředen zadavatele.</w:t>
      </w:r>
    </w:p>
    <w:p w14:paraId="6A47E401" w14:textId="37DCEA42" w:rsidR="006A0BE8" w:rsidRDefault="008C48EF" w:rsidP="008C48EF">
      <w:pPr>
        <w:ind w:left="360"/>
        <w:rPr>
          <w:noProof/>
        </w:rPr>
      </w:pPr>
      <w:r>
        <w:rPr>
          <w:noProof/>
        </w:rPr>
        <w:t xml:space="preserve">Kupující </w:t>
      </w:r>
      <w:r w:rsidR="006A0BE8">
        <w:rPr>
          <w:noProof/>
        </w:rPr>
        <w:t xml:space="preserve">zajistí součinnost </w:t>
      </w:r>
      <w:r>
        <w:rPr>
          <w:noProof/>
        </w:rPr>
        <w:t>Pracovníky prodávajícího</w:t>
      </w:r>
      <w:r w:rsidR="006A0BE8">
        <w:rPr>
          <w:noProof/>
        </w:rPr>
        <w:t xml:space="preserve"> při instalaci systému.</w:t>
      </w:r>
    </w:p>
    <w:bookmarkEnd w:id="10"/>
    <w:p w14:paraId="3C9E46D0" w14:textId="07452C60" w:rsidR="00567DC9" w:rsidRDefault="00567DC9" w:rsidP="00567DC9">
      <w:pPr>
        <w:rPr>
          <w:noProof/>
        </w:rPr>
      </w:pPr>
    </w:p>
    <w:p w14:paraId="0B8B6A76" w14:textId="77777777" w:rsidR="00087D48" w:rsidRPr="00380F2D" w:rsidRDefault="00087D48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1" w:name="_Toc517632208"/>
      <w:bookmarkStart w:id="12" w:name="_Toc517978985"/>
      <w:bookmarkStart w:id="13" w:name="_Toc518251182"/>
      <w:bookmarkStart w:id="14" w:name="_Toc533063758"/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11"/>
      <w:bookmarkEnd w:id="12"/>
      <w:bookmarkEnd w:id="13"/>
      <w:bookmarkEnd w:id="14"/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7E7FF280" w14:textId="77777777" w:rsidR="00087D48" w:rsidRPr="00380F2D" w:rsidRDefault="00087D48" w:rsidP="00380F2D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380F2D">
        <w:rPr>
          <w:rFonts w:asciiTheme="majorHAnsi" w:eastAsia="Times New Roman" w:hAnsiTheme="majorHAnsi" w:cs="Times New Roman"/>
        </w:rPr>
        <w:t>Současně s Dodávkou poskytne Prodávající Kupujícímu tento Software (např. firmware, obslužné ovladače a další níže specifikovaný Software):</w:t>
      </w:r>
      <w:r w:rsidRPr="00380F2D">
        <w:rPr>
          <w:rFonts w:asciiTheme="majorHAnsi" w:eastAsia="Times New Roman" w:hAnsiTheme="majorHAnsi" w:cs="Arial"/>
          <w:bCs/>
          <w:iCs/>
        </w:rPr>
        <w:t xml:space="preserve"> </w:t>
      </w:r>
      <w:r w:rsidRPr="00380F2D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380F2D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380F2D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380F2D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SOFTWARE.</w:t>
      </w:r>
      <w:r w:rsidRPr="00380F2D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4F41AF" w14:paraId="1377FB62" w14:textId="77777777" w:rsidTr="00805A75">
        <w:tc>
          <w:tcPr>
            <w:tcW w:w="8720" w:type="dxa"/>
            <w:gridSpan w:val="2"/>
            <w:shd w:val="clear" w:color="auto" w:fill="D9D9D9"/>
          </w:tcPr>
          <w:p w14:paraId="0D871D34" w14:textId="77777777" w:rsidR="00087D48" w:rsidRPr="00380F2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380F2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4F41AF" w14:paraId="680EB011" w14:textId="77777777" w:rsidTr="00805A75">
        <w:tc>
          <w:tcPr>
            <w:tcW w:w="4346" w:type="dxa"/>
          </w:tcPr>
          <w:p w14:paraId="7CF38782" w14:textId="77777777" w:rsidR="00087D48" w:rsidRPr="00380F2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80F2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25A28D2D" w14:textId="77777777" w:rsidR="00087D48" w:rsidRPr="00380F2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80F2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380F2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380F2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380F2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4F41AF" w14:paraId="6AB257EA" w14:textId="77777777" w:rsidTr="00805A75">
        <w:tc>
          <w:tcPr>
            <w:tcW w:w="4346" w:type="dxa"/>
          </w:tcPr>
          <w:p w14:paraId="16856946" w14:textId="77777777" w:rsidR="00087D48" w:rsidRPr="00380F2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80F2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172467E4" w14:textId="77777777" w:rsidR="00087D48" w:rsidRPr="00380F2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80F2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380F2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380F2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380F2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4F41AF" w14:paraId="4B58B1AA" w14:textId="77777777" w:rsidTr="00805A75">
        <w:tc>
          <w:tcPr>
            <w:tcW w:w="4346" w:type="dxa"/>
          </w:tcPr>
          <w:p w14:paraId="56E38DCA" w14:textId="77777777" w:rsidR="00087D48" w:rsidRPr="00380F2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80F2D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4374" w:type="dxa"/>
          </w:tcPr>
          <w:p w14:paraId="72C359CB" w14:textId="77777777" w:rsidR="00087D48" w:rsidRPr="00380F2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80F2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380F2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380F2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380F2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24A49669" w14:textId="77777777" w:rsidR="00087D48" w:rsidRPr="00380F2D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5" w:name="_Toc517632209"/>
      <w:bookmarkStart w:id="16" w:name="_Toc517978986"/>
      <w:bookmarkStart w:id="17" w:name="_Toc518251183"/>
      <w:bookmarkStart w:id="18" w:name="_Toc533063759"/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9" w:name="_Toc517632210"/>
      <w:bookmarkStart w:id="20" w:name="_Toc517978987"/>
      <w:bookmarkStart w:id="21" w:name="_Toc518251184"/>
      <w:bookmarkStart w:id="22" w:name="_Toc533063760"/>
      <w:bookmarkEnd w:id="15"/>
      <w:bookmarkEnd w:id="16"/>
      <w:bookmarkEnd w:id="17"/>
      <w:bookmarkEnd w:id="18"/>
    </w:p>
    <w:p w14:paraId="1BA27F94" w14:textId="5BD907E7" w:rsidR="00567DC9" w:rsidRPr="009F0883" w:rsidRDefault="00567DC9" w:rsidP="00567DC9">
      <w:r>
        <w:t xml:space="preserve">Součástí dodávky bude poskytnutí školení zaměstnancům </w:t>
      </w:r>
      <w:r w:rsidR="00F908DC">
        <w:t>kupujícího</w:t>
      </w:r>
      <w:r>
        <w:t>.</w:t>
      </w:r>
    </w:p>
    <w:p w14:paraId="44051566" w14:textId="77777777" w:rsidR="00567DC9" w:rsidRPr="00C62E7A" w:rsidRDefault="00567DC9" w:rsidP="00567DC9">
      <w:pPr>
        <w:pStyle w:val="Bezmezer"/>
        <w:rPr>
          <w:b/>
          <w:bCs/>
        </w:rPr>
      </w:pPr>
      <w:r w:rsidRPr="00C62E7A">
        <w:rPr>
          <w:b/>
          <w:bCs/>
        </w:rPr>
        <w:t>Administrátorské školení:</w:t>
      </w:r>
    </w:p>
    <w:p w14:paraId="1212D295" w14:textId="5A63B30E" w:rsidR="00567DC9" w:rsidRDefault="00567DC9" w:rsidP="00567DC9">
      <w:pPr>
        <w:pStyle w:val="Odstavecseseznamem"/>
        <w:numPr>
          <w:ilvl w:val="0"/>
          <w:numId w:val="36"/>
        </w:numPr>
        <w:ind w:left="709" w:hanging="283"/>
        <w:rPr>
          <w:noProof/>
        </w:rPr>
      </w:pPr>
      <w:r w:rsidRPr="00F55193">
        <w:rPr>
          <w:noProof/>
        </w:rPr>
        <w:t>Proběhn</w:t>
      </w:r>
      <w:r w:rsidR="001D6213" w:rsidRPr="00F55193">
        <w:rPr>
          <w:noProof/>
        </w:rPr>
        <w:t xml:space="preserve">ou 2 </w:t>
      </w:r>
      <w:r w:rsidR="0028294A" w:rsidRPr="00F55193">
        <w:rPr>
          <w:noProof/>
        </w:rPr>
        <w:t>školení</w:t>
      </w:r>
      <w:r w:rsidR="0028294A">
        <w:rPr>
          <w:noProof/>
        </w:rPr>
        <w:t xml:space="preserve"> </w:t>
      </w:r>
      <w:r w:rsidR="00FB08BA">
        <w:rPr>
          <w:noProof/>
        </w:rPr>
        <w:t xml:space="preserve">pro maximálně </w:t>
      </w:r>
      <w:r w:rsidR="001D6213">
        <w:rPr>
          <w:noProof/>
        </w:rPr>
        <w:t>6</w:t>
      </w:r>
      <w:r>
        <w:rPr>
          <w:noProof/>
        </w:rPr>
        <w:t xml:space="preserve"> zaměstnanc</w:t>
      </w:r>
      <w:r w:rsidR="00FB08BA">
        <w:rPr>
          <w:noProof/>
        </w:rPr>
        <w:t>ů</w:t>
      </w:r>
      <w:r>
        <w:rPr>
          <w:noProof/>
        </w:rPr>
        <w:t xml:space="preserve"> </w:t>
      </w:r>
      <w:r w:rsidR="00B208A0">
        <w:rPr>
          <w:noProof/>
        </w:rPr>
        <w:t>K</w:t>
      </w:r>
      <w:r w:rsidR="00F908DC">
        <w:rPr>
          <w:noProof/>
        </w:rPr>
        <w:t>upujícího</w:t>
      </w:r>
      <w:r>
        <w:rPr>
          <w:noProof/>
        </w:rPr>
        <w:t>.</w:t>
      </w:r>
    </w:p>
    <w:p w14:paraId="77256083" w14:textId="43738DA9" w:rsidR="00567DC9" w:rsidRDefault="001D6213" w:rsidP="00567DC9">
      <w:pPr>
        <w:pStyle w:val="Odstavecseseznamem"/>
        <w:numPr>
          <w:ilvl w:val="0"/>
          <w:numId w:val="36"/>
        </w:numPr>
        <w:ind w:left="709" w:hanging="283"/>
        <w:rPr>
          <w:noProof/>
        </w:rPr>
      </w:pPr>
      <w:r>
        <w:rPr>
          <w:noProof/>
        </w:rPr>
        <w:t>Každé š</w:t>
      </w:r>
      <w:r w:rsidR="00567DC9">
        <w:rPr>
          <w:noProof/>
        </w:rPr>
        <w:t xml:space="preserve">kolení bude poskytnuto v rozsahu minimálně </w:t>
      </w:r>
      <w:r>
        <w:rPr>
          <w:noProof/>
        </w:rPr>
        <w:t xml:space="preserve">8 </w:t>
      </w:r>
      <w:r w:rsidR="00567DC9">
        <w:rPr>
          <w:noProof/>
        </w:rPr>
        <w:t>hodin.</w:t>
      </w:r>
    </w:p>
    <w:p w14:paraId="6FF47F3E" w14:textId="1473B067" w:rsidR="00567DC9" w:rsidRDefault="00567DC9" w:rsidP="00567DC9">
      <w:pPr>
        <w:pStyle w:val="Odstavecseseznamem"/>
        <w:numPr>
          <w:ilvl w:val="0"/>
          <w:numId w:val="36"/>
        </w:numPr>
        <w:ind w:left="709" w:hanging="283"/>
        <w:rPr>
          <w:noProof/>
        </w:rPr>
      </w:pPr>
      <w:r>
        <w:rPr>
          <w:noProof/>
        </w:rPr>
        <w:t>Po zaškolení budou účastníci schopni samostatně provádět základní administraci a správu telefonního systému a poskytnout součinnost při diagnostice a řešení závad.</w:t>
      </w:r>
    </w:p>
    <w:p w14:paraId="35432ADF" w14:textId="6F7FECDE" w:rsidR="0051191E" w:rsidRDefault="0051191E" w:rsidP="00567DC9">
      <w:pPr>
        <w:pStyle w:val="Odstavecseseznamem"/>
        <w:numPr>
          <w:ilvl w:val="0"/>
          <w:numId w:val="36"/>
        </w:numPr>
        <w:ind w:left="709" w:hanging="283"/>
        <w:rPr>
          <w:noProof/>
        </w:rPr>
      </w:pPr>
      <w:r>
        <w:rPr>
          <w:noProof/>
        </w:rPr>
        <w:t>Školení proběhne v místě dle dohody smluvních stran.</w:t>
      </w:r>
    </w:p>
    <w:p w14:paraId="11C25EE5" w14:textId="77777777" w:rsidR="00567DC9" w:rsidRPr="00C62E7A" w:rsidRDefault="00567DC9" w:rsidP="00567DC9">
      <w:pPr>
        <w:pStyle w:val="Bezmezer"/>
        <w:rPr>
          <w:b/>
          <w:bCs/>
          <w:noProof/>
        </w:rPr>
      </w:pPr>
      <w:r w:rsidRPr="00C62E7A">
        <w:rPr>
          <w:b/>
          <w:bCs/>
          <w:noProof/>
        </w:rPr>
        <w:t>Uživatelské školení:</w:t>
      </w:r>
    </w:p>
    <w:p w14:paraId="655740C0" w14:textId="231D9DD9" w:rsidR="00567DC9" w:rsidRDefault="00567DC9" w:rsidP="004F41AF">
      <w:pPr>
        <w:pStyle w:val="Odstavecseseznamem"/>
        <w:numPr>
          <w:ilvl w:val="0"/>
          <w:numId w:val="35"/>
        </w:numPr>
        <w:ind w:left="709" w:hanging="283"/>
        <w:rPr>
          <w:noProof/>
        </w:rPr>
      </w:pPr>
      <w:r>
        <w:rPr>
          <w:noProof/>
        </w:rPr>
        <w:t xml:space="preserve">Proběhne v sídle </w:t>
      </w:r>
      <w:r w:rsidR="00F908DC">
        <w:rPr>
          <w:noProof/>
        </w:rPr>
        <w:t>kupujícího</w:t>
      </w:r>
      <w:r w:rsidR="00B208A0">
        <w:rPr>
          <w:noProof/>
        </w:rPr>
        <w:t>.</w:t>
      </w:r>
    </w:p>
    <w:p w14:paraId="189370F5" w14:textId="659D116F" w:rsidR="00567DC9" w:rsidRDefault="0072053A" w:rsidP="004F41AF">
      <w:pPr>
        <w:pStyle w:val="Odstavecseseznamem"/>
        <w:numPr>
          <w:ilvl w:val="0"/>
          <w:numId w:val="35"/>
        </w:numPr>
        <w:ind w:left="709" w:hanging="283"/>
        <w:rPr>
          <w:noProof/>
        </w:rPr>
      </w:pPr>
      <w:r>
        <w:rPr>
          <w:noProof/>
        </w:rPr>
        <w:t>Proběhne 5 školení</w:t>
      </w:r>
      <w:r w:rsidR="00B208A0">
        <w:rPr>
          <w:noProof/>
        </w:rPr>
        <w:t>, každé z nich</w:t>
      </w:r>
      <w:r w:rsidR="00567DC9">
        <w:rPr>
          <w:noProof/>
        </w:rPr>
        <w:t xml:space="preserve"> v rozsahu minimálně 1 hodiny</w:t>
      </w:r>
      <w:r w:rsidR="00B208A0">
        <w:rPr>
          <w:noProof/>
        </w:rPr>
        <w:t>, každé školení bude pro maximálně 100 zaměstnanců Kupujícího</w:t>
      </w:r>
      <w:r w:rsidR="00567DC9">
        <w:rPr>
          <w:noProof/>
        </w:rPr>
        <w:t>.</w:t>
      </w:r>
    </w:p>
    <w:p w14:paraId="7986906C" w14:textId="77777777" w:rsidR="00087D48" w:rsidRPr="00380F2D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3" w:name="_Toc517632211"/>
      <w:bookmarkStart w:id="24" w:name="_Toc517978988"/>
      <w:bookmarkStart w:id="25" w:name="_Toc518251185"/>
      <w:bookmarkStart w:id="26" w:name="_Toc533063761"/>
      <w:bookmarkEnd w:id="19"/>
      <w:bookmarkEnd w:id="20"/>
      <w:bookmarkEnd w:id="21"/>
      <w:bookmarkEnd w:id="22"/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Služby</w:t>
      </w:r>
      <w:bookmarkEnd w:id="23"/>
      <w:bookmarkEnd w:id="24"/>
      <w:bookmarkEnd w:id="25"/>
      <w:bookmarkEnd w:id="26"/>
    </w:p>
    <w:p w14:paraId="3A5F7373" w14:textId="77777777" w:rsidR="00087D48" w:rsidRPr="00606C48" w:rsidRDefault="00087D48" w:rsidP="004F41AF">
      <w:pPr>
        <w:widowControl w:val="0"/>
        <w:numPr>
          <w:ilvl w:val="1"/>
          <w:numId w:val="0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Times New Roman"/>
        </w:rPr>
      </w:pPr>
      <w:bookmarkStart w:id="27" w:name="_Ref514349626"/>
      <w:r w:rsidRPr="00380F2D">
        <w:rPr>
          <w:rFonts w:asciiTheme="majorHAnsi" w:eastAsia="Times New Roman" w:hAnsiTheme="majorHAnsi" w:cs="Times New Roman"/>
        </w:rPr>
        <w:t>Na základě Smlouvy je Prodávající povinen poskytnout Kupujícímu</w:t>
      </w:r>
      <w:r w:rsidRPr="00606C48">
        <w:rPr>
          <w:rFonts w:asciiTheme="majorHAnsi" w:eastAsia="Times New Roman" w:hAnsiTheme="majorHAnsi" w:cs="Times New Roman"/>
        </w:rPr>
        <w:t xml:space="preserve"> následující Služby:</w:t>
      </w:r>
      <w:bookmarkEnd w:id="27"/>
    </w:p>
    <w:p w14:paraId="3110DD5A" w14:textId="55B2AE08" w:rsidR="00F908DC" w:rsidRDefault="00F908DC" w:rsidP="008C48EF">
      <w:pPr>
        <w:spacing w:after="0"/>
        <w:rPr>
          <w:noProof/>
        </w:rPr>
      </w:pPr>
      <w:r>
        <w:rPr>
          <w:noProof/>
        </w:rPr>
        <w:t xml:space="preserve">Součástí plnění bude zajištění podpory </w:t>
      </w:r>
      <w:r w:rsidR="00F55193">
        <w:rPr>
          <w:noProof/>
        </w:rPr>
        <w:t xml:space="preserve">výrobce </w:t>
      </w:r>
      <w:r>
        <w:rPr>
          <w:noProof/>
        </w:rPr>
        <w:t xml:space="preserve">a </w:t>
      </w:r>
      <w:r w:rsidR="008C48EF">
        <w:rPr>
          <w:noProof/>
        </w:rPr>
        <w:t xml:space="preserve">záručního </w:t>
      </w:r>
      <w:r>
        <w:rPr>
          <w:noProof/>
        </w:rPr>
        <w:t xml:space="preserve">servisu pro dodané </w:t>
      </w:r>
      <w:r w:rsidR="00591641">
        <w:rPr>
          <w:noProof/>
        </w:rPr>
        <w:t xml:space="preserve">Hardware po dobu </w:t>
      </w:r>
      <w:r w:rsidR="00DE6A0F">
        <w:rPr>
          <w:noProof/>
        </w:rPr>
        <w:t>3 let</w:t>
      </w:r>
      <w:r w:rsidR="00DE6A0F" w:rsidRPr="00DE6A0F">
        <w:rPr>
          <w:noProof/>
        </w:rPr>
        <w:t xml:space="preserve"> </w:t>
      </w:r>
      <w:r w:rsidR="00DE6A0F">
        <w:rPr>
          <w:noProof/>
        </w:rPr>
        <w:t xml:space="preserve">od dodání a akceptace Hardware. </w:t>
      </w:r>
    </w:p>
    <w:p w14:paraId="21018589" w14:textId="7502C38B" w:rsidR="00380F2D" w:rsidRPr="00380F2D" w:rsidRDefault="00380F2D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8" w:name="_Toc517632213"/>
      <w:bookmarkStart w:id="29" w:name="_Toc517978990"/>
      <w:bookmarkStart w:id="30" w:name="_Toc518251187"/>
      <w:bookmarkStart w:id="31" w:name="_Toc533063763"/>
      <w:r>
        <w:rPr>
          <w:rFonts w:asciiTheme="majorHAnsi" w:eastAsia="Times New Roman" w:hAnsiTheme="majorHAnsi" w:cs="Arial"/>
          <w:b/>
          <w:bCs/>
          <w:caps/>
          <w:kern w:val="32"/>
        </w:rPr>
        <w:t>Aktuální technický</w:t>
      </w:r>
      <w:r w:rsidRPr="00380F2D">
        <w:rPr>
          <w:rFonts w:asciiTheme="majorHAnsi" w:eastAsia="Times New Roman" w:hAnsiTheme="majorHAnsi" w:cs="Arial"/>
          <w:b/>
          <w:bCs/>
          <w:caps/>
          <w:kern w:val="32"/>
        </w:rPr>
        <w:t xml:space="preserve"> stav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14:paraId="53A5B1D6" w14:textId="77777777" w:rsidR="00380F2D" w:rsidRPr="004F41AF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  <w:bCs/>
          <w:iCs/>
        </w:rPr>
      </w:pPr>
      <w:r w:rsidRPr="004F41AF">
        <w:rPr>
          <w:rFonts w:asciiTheme="majorHAnsi" w:eastAsia="Times New Roman" w:hAnsiTheme="majorHAnsi" w:cs="Times New Roman"/>
          <w:b/>
          <w:bCs/>
          <w:iCs/>
        </w:rPr>
        <w:t>Současná telefonní ústředna GŘ SŽ:</w:t>
      </w:r>
    </w:p>
    <w:p w14:paraId="16A443E6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380F2D">
        <w:rPr>
          <w:rFonts w:asciiTheme="majorHAnsi" w:eastAsia="Times New Roman" w:hAnsiTheme="majorHAnsi" w:cs="Times New Roman"/>
          <w:bCs/>
          <w:iCs/>
        </w:rPr>
        <w:t>•</w:t>
      </w:r>
      <w:r w:rsidRPr="00380F2D">
        <w:rPr>
          <w:rFonts w:asciiTheme="majorHAnsi" w:eastAsia="Times New Roman" w:hAnsiTheme="majorHAnsi" w:cs="Times New Roman"/>
          <w:bCs/>
          <w:iCs/>
        </w:rPr>
        <w:tab/>
        <w:t xml:space="preserve">Ústředna Siemens </w:t>
      </w:r>
      <w:proofErr w:type="spellStart"/>
      <w:r w:rsidRPr="00380F2D">
        <w:rPr>
          <w:rFonts w:asciiTheme="majorHAnsi" w:eastAsia="Times New Roman" w:hAnsiTheme="majorHAnsi" w:cs="Times New Roman"/>
          <w:bCs/>
          <w:iCs/>
        </w:rPr>
        <w:t>HiPath</w:t>
      </w:r>
      <w:proofErr w:type="spellEnd"/>
      <w:r w:rsidRPr="00380F2D">
        <w:rPr>
          <w:rFonts w:asciiTheme="majorHAnsi" w:eastAsia="Times New Roman" w:hAnsiTheme="majorHAnsi" w:cs="Times New Roman"/>
          <w:bCs/>
          <w:iCs/>
        </w:rPr>
        <w:t xml:space="preserve"> 4000 v lokalitě Praha – Dlážděná</w:t>
      </w:r>
    </w:p>
    <w:p w14:paraId="36CD8A46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380F2D">
        <w:rPr>
          <w:rFonts w:asciiTheme="majorHAnsi" w:eastAsia="Times New Roman" w:hAnsiTheme="majorHAnsi" w:cs="Times New Roman"/>
          <w:bCs/>
          <w:iCs/>
        </w:rPr>
        <w:t>•</w:t>
      </w:r>
      <w:r w:rsidRPr="00380F2D">
        <w:rPr>
          <w:rFonts w:asciiTheme="majorHAnsi" w:eastAsia="Times New Roman" w:hAnsiTheme="majorHAnsi" w:cs="Times New Roman"/>
          <w:bCs/>
          <w:iCs/>
        </w:rPr>
        <w:tab/>
        <w:t>Rozšiřující kontejner v lokalitě Praha – Pernerova</w:t>
      </w:r>
    </w:p>
    <w:p w14:paraId="063E705B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380F2D">
        <w:rPr>
          <w:rFonts w:asciiTheme="majorHAnsi" w:eastAsia="Times New Roman" w:hAnsiTheme="majorHAnsi" w:cs="Times New Roman"/>
          <w:bCs/>
          <w:iCs/>
        </w:rPr>
        <w:t>•</w:t>
      </w:r>
      <w:r w:rsidRPr="00380F2D">
        <w:rPr>
          <w:rFonts w:asciiTheme="majorHAnsi" w:eastAsia="Times New Roman" w:hAnsiTheme="majorHAnsi" w:cs="Times New Roman"/>
          <w:bCs/>
          <w:iCs/>
        </w:rPr>
        <w:tab/>
        <w:t>Licence pro 650 digitálních a 50 analogových linek</w:t>
      </w:r>
    </w:p>
    <w:p w14:paraId="24690D21" w14:textId="77777777" w:rsidR="00380F2D" w:rsidRPr="00380F2D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380F2D">
        <w:rPr>
          <w:rFonts w:asciiTheme="majorHAnsi" w:eastAsia="Times New Roman" w:hAnsiTheme="majorHAnsi" w:cs="Times New Roman"/>
          <w:bCs/>
          <w:iCs/>
        </w:rPr>
        <w:t>•</w:t>
      </w:r>
      <w:r w:rsidRPr="00380F2D">
        <w:rPr>
          <w:rFonts w:asciiTheme="majorHAnsi" w:eastAsia="Times New Roman" w:hAnsiTheme="majorHAnsi" w:cs="Times New Roman"/>
          <w:bCs/>
          <w:iCs/>
        </w:rPr>
        <w:tab/>
        <w:t>2x ISDN30 připojení do veřejné a drážní telefonní sítě</w:t>
      </w:r>
    </w:p>
    <w:p w14:paraId="6D297C0F" w14:textId="77777777" w:rsidR="00380F2D" w:rsidRPr="004F41AF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  <w:bCs/>
          <w:iCs/>
        </w:rPr>
      </w:pPr>
      <w:r w:rsidRPr="004F41AF">
        <w:rPr>
          <w:rFonts w:asciiTheme="majorHAnsi" w:eastAsia="Times New Roman" w:hAnsiTheme="majorHAnsi" w:cs="Times New Roman"/>
          <w:b/>
          <w:bCs/>
          <w:iCs/>
        </w:rPr>
        <w:t>Současné telefonní přístroje v lokalitách Dlážděná a Pernerova:</w:t>
      </w:r>
    </w:p>
    <w:p w14:paraId="6B8939D1" w14:textId="77777777" w:rsidR="00380F2D" w:rsidRPr="00606C48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 xml:space="preserve">Siemens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OptiPoint</w:t>
      </w:r>
      <w:proofErr w:type="spellEnd"/>
      <w:r w:rsidRPr="00606C48">
        <w:rPr>
          <w:rFonts w:asciiTheme="majorHAnsi" w:eastAsia="Times New Roman" w:hAnsiTheme="majorHAnsi" w:cs="Times New Roman"/>
          <w:bCs/>
          <w:iCs/>
        </w:rPr>
        <w:t xml:space="preserve"> 500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Economy</w:t>
      </w:r>
      <w:proofErr w:type="spellEnd"/>
    </w:p>
    <w:p w14:paraId="0A7BF633" w14:textId="77777777" w:rsidR="00380F2D" w:rsidRPr="00606C48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 xml:space="preserve">Siemens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OptiPoint</w:t>
      </w:r>
      <w:proofErr w:type="spellEnd"/>
      <w:r w:rsidRPr="00606C48">
        <w:rPr>
          <w:rFonts w:asciiTheme="majorHAnsi" w:eastAsia="Times New Roman" w:hAnsiTheme="majorHAnsi" w:cs="Times New Roman"/>
          <w:bCs/>
          <w:iCs/>
        </w:rPr>
        <w:t xml:space="preserve"> 500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Advance</w:t>
      </w:r>
      <w:proofErr w:type="spellEnd"/>
    </w:p>
    <w:p w14:paraId="50A0ABF6" w14:textId="77777777" w:rsidR="00380F2D" w:rsidRPr="00567DC9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567DC9">
        <w:rPr>
          <w:rFonts w:asciiTheme="majorHAnsi" w:eastAsia="Times New Roman" w:hAnsiTheme="majorHAnsi" w:cs="Times New Roman"/>
          <w:bCs/>
          <w:iCs/>
        </w:rPr>
        <w:t>•</w:t>
      </w:r>
      <w:r w:rsidRPr="00567DC9">
        <w:rPr>
          <w:rFonts w:asciiTheme="majorHAnsi" w:eastAsia="Times New Roman" w:hAnsiTheme="majorHAnsi" w:cs="Times New Roman"/>
          <w:bCs/>
          <w:iCs/>
        </w:rPr>
        <w:tab/>
        <w:t xml:space="preserve">Siemens </w:t>
      </w:r>
      <w:proofErr w:type="spellStart"/>
      <w:r w:rsidRPr="00567DC9">
        <w:rPr>
          <w:rFonts w:asciiTheme="majorHAnsi" w:eastAsia="Times New Roman" w:hAnsiTheme="majorHAnsi" w:cs="Times New Roman"/>
          <w:bCs/>
          <w:iCs/>
        </w:rPr>
        <w:t>OpenStage</w:t>
      </w:r>
      <w:proofErr w:type="spellEnd"/>
      <w:r w:rsidRPr="00567DC9">
        <w:rPr>
          <w:rFonts w:asciiTheme="majorHAnsi" w:eastAsia="Times New Roman" w:hAnsiTheme="majorHAnsi" w:cs="Times New Roman"/>
          <w:bCs/>
          <w:iCs/>
        </w:rPr>
        <w:t xml:space="preserve"> </w:t>
      </w:r>
      <w:proofErr w:type="gramStart"/>
      <w:r w:rsidRPr="00567DC9">
        <w:rPr>
          <w:rFonts w:asciiTheme="majorHAnsi" w:eastAsia="Times New Roman" w:hAnsiTheme="majorHAnsi" w:cs="Times New Roman"/>
          <w:bCs/>
          <w:iCs/>
        </w:rPr>
        <w:t>15T</w:t>
      </w:r>
      <w:proofErr w:type="gramEnd"/>
    </w:p>
    <w:p w14:paraId="3EF1E75D" w14:textId="77777777" w:rsidR="00380F2D" w:rsidRPr="00567DC9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567DC9">
        <w:rPr>
          <w:rFonts w:asciiTheme="majorHAnsi" w:eastAsia="Times New Roman" w:hAnsiTheme="majorHAnsi" w:cs="Times New Roman"/>
          <w:bCs/>
          <w:iCs/>
        </w:rPr>
        <w:t>•</w:t>
      </w:r>
      <w:r w:rsidRPr="00567DC9">
        <w:rPr>
          <w:rFonts w:asciiTheme="majorHAnsi" w:eastAsia="Times New Roman" w:hAnsiTheme="majorHAnsi" w:cs="Times New Roman"/>
          <w:bCs/>
          <w:iCs/>
        </w:rPr>
        <w:tab/>
        <w:t>Rozšiřující tlačítkové moduly</w:t>
      </w:r>
    </w:p>
    <w:p w14:paraId="6145C34F" w14:textId="77777777" w:rsidR="00380F2D" w:rsidRPr="00567DC9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567DC9">
        <w:rPr>
          <w:rFonts w:asciiTheme="majorHAnsi" w:eastAsia="Times New Roman" w:hAnsiTheme="majorHAnsi" w:cs="Times New Roman"/>
          <w:bCs/>
          <w:iCs/>
        </w:rPr>
        <w:t>•</w:t>
      </w:r>
      <w:r w:rsidRPr="00567DC9">
        <w:rPr>
          <w:rFonts w:asciiTheme="majorHAnsi" w:eastAsia="Times New Roman" w:hAnsiTheme="majorHAnsi" w:cs="Times New Roman"/>
          <w:bCs/>
          <w:iCs/>
        </w:rPr>
        <w:tab/>
        <w:t>Šéf-sekretářské soupravy (cca. 30ks)</w:t>
      </w:r>
    </w:p>
    <w:p w14:paraId="4C629673" w14:textId="77777777" w:rsidR="00380F2D" w:rsidRPr="004F41AF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  <w:bCs/>
          <w:iCs/>
        </w:rPr>
      </w:pPr>
      <w:r w:rsidRPr="004F41AF">
        <w:rPr>
          <w:rFonts w:asciiTheme="majorHAnsi" w:eastAsia="Times New Roman" w:hAnsiTheme="majorHAnsi" w:cs="Times New Roman"/>
          <w:b/>
          <w:bCs/>
          <w:iCs/>
        </w:rPr>
        <w:t>Používané funkce telefonního systému:</w:t>
      </w:r>
    </w:p>
    <w:p w14:paraId="7D329111" w14:textId="77777777" w:rsidR="00380F2D" w:rsidRPr="00606C48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>Historie volání</w:t>
      </w:r>
    </w:p>
    <w:p w14:paraId="17F42A78" w14:textId="77777777" w:rsidR="00380F2D" w:rsidRPr="00606C48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>Seznam nepřijatých hovorů</w:t>
      </w:r>
    </w:p>
    <w:p w14:paraId="0D0E09A6" w14:textId="77777777" w:rsidR="00380F2D" w:rsidRPr="00606C48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>Přesměrování hovorů</w:t>
      </w:r>
    </w:p>
    <w:p w14:paraId="6E94E6CA" w14:textId="77777777" w:rsidR="00380F2D" w:rsidRPr="00567DC9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567DC9">
        <w:rPr>
          <w:rFonts w:asciiTheme="majorHAnsi" w:eastAsia="Times New Roman" w:hAnsiTheme="majorHAnsi" w:cs="Times New Roman"/>
          <w:bCs/>
          <w:iCs/>
        </w:rPr>
        <w:t>•</w:t>
      </w:r>
      <w:r w:rsidRPr="00567DC9">
        <w:rPr>
          <w:rFonts w:asciiTheme="majorHAnsi" w:eastAsia="Times New Roman" w:hAnsiTheme="majorHAnsi" w:cs="Times New Roman"/>
          <w:bCs/>
          <w:iCs/>
        </w:rPr>
        <w:tab/>
        <w:t>Převzetí a přepojení hovorů v rámci kanceláře</w:t>
      </w:r>
    </w:p>
    <w:p w14:paraId="6166CA24" w14:textId="77777777" w:rsidR="00380F2D" w:rsidRPr="00567DC9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567DC9">
        <w:rPr>
          <w:rFonts w:asciiTheme="majorHAnsi" w:eastAsia="Times New Roman" w:hAnsiTheme="majorHAnsi" w:cs="Times New Roman"/>
          <w:bCs/>
          <w:iCs/>
        </w:rPr>
        <w:t>•</w:t>
      </w:r>
      <w:r w:rsidRPr="00567DC9">
        <w:rPr>
          <w:rFonts w:asciiTheme="majorHAnsi" w:eastAsia="Times New Roman" w:hAnsiTheme="majorHAnsi" w:cs="Times New Roman"/>
          <w:bCs/>
          <w:iCs/>
        </w:rPr>
        <w:tab/>
        <w:t>Zobrazení jména volajícího</w:t>
      </w:r>
    </w:p>
    <w:p w14:paraId="3F65C389" w14:textId="77777777" w:rsidR="00380F2D" w:rsidRPr="004F41AF" w:rsidRDefault="00380F2D" w:rsidP="00380F2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  <w:bCs/>
          <w:iCs/>
        </w:rPr>
      </w:pPr>
      <w:r w:rsidRPr="004F41AF">
        <w:rPr>
          <w:rFonts w:asciiTheme="majorHAnsi" w:eastAsia="Times New Roman" w:hAnsiTheme="majorHAnsi" w:cs="Times New Roman"/>
          <w:b/>
          <w:bCs/>
          <w:iCs/>
        </w:rPr>
        <w:t>Současná telefonie SŽ:</w:t>
      </w:r>
    </w:p>
    <w:p w14:paraId="3E0B2D4B" w14:textId="77777777" w:rsidR="00380F2D" w:rsidRPr="00606C48" w:rsidRDefault="00380F2D" w:rsidP="00BA6492">
      <w:pPr>
        <w:widowControl w:val="0"/>
        <w:numPr>
          <w:ilvl w:val="1"/>
          <w:numId w:val="0"/>
        </w:numPr>
        <w:tabs>
          <w:tab w:val="num" w:pos="567"/>
        </w:tabs>
        <w:spacing w:before="120" w:after="0" w:line="240" w:lineRule="auto"/>
        <w:ind w:left="1134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 xml:space="preserve">Tranzitní telefonní síť SŽ je tvořena ústřednami systému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Mitel</w:t>
      </w:r>
      <w:proofErr w:type="spellEnd"/>
      <w:r w:rsidRPr="00606C48">
        <w:rPr>
          <w:rFonts w:asciiTheme="majorHAnsi" w:eastAsia="Times New Roman" w:hAnsiTheme="majorHAnsi" w:cs="Times New Roman"/>
          <w:bCs/>
          <w:iCs/>
        </w:rPr>
        <w:t xml:space="preserve">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MiVoice</w:t>
      </w:r>
      <w:proofErr w:type="spellEnd"/>
      <w:r w:rsidRPr="00606C48">
        <w:rPr>
          <w:rFonts w:asciiTheme="majorHAnsi" w:eastAsia="Times New Roman" w:hAnsiTheme="majorHAnsi" w:cs="Times New Roman"/>
          <w:bCs/>
          <w:iCs/>
        </w:rPr>
        <w:t xml:space="preserve"> MX-ONE.</w:t>
      </w:r>
    </w:p>
    <w:p w14:paraId="71BC92F8" w14:textId="0E3643BF" w:rsidR="00380F2D" w:rsidRPr="00606C48" w:rsidRDefault="00380F2D" w:rsidP="00BA6492">
      <w:pPr>
        <w:keepNext/>
        <w:spacing w:before="240" w:after="0" w:line="240" w:lineRule="auto"/>
        <w:ind w:left="1134" w:hanging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06C48">
        <w:rPr>
          <w:rFonts w:asciiTheme="majorHAnsi" w:eastAsia="Times New Roman" w:hAnsiTheme="majorHAnsi" w:cs="Times New Roman"/>
          <w:bCs/>
          <w:iCs/>
        </w:rPr>
        <w:t>•</w:t>
      </w:r>
      <w:r w:rsidRPr="00606C48">
        <w:rPr>
          <w:rFonts w:asciiTheme="majorHAnsi" w:eastAsia="Times New Roman" w:hAnsiTheme="majorHAnsi" w:cs="Times New Roman"/>
          <w:bCs/>
          <w:iCs/>
        </w:rPr>
        <w:tab/>
        <w:t xml:space="preserve">Velké uzly, jako například Praha, jsou tvořeny blokem několika vzájemně redundantně propojených ústředen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Mitel</w:t>
      </w:r>
      <w:proofErr w:type="spellEnd"/>
      <w:r w:rsidRPr="00606C48">
        <w:rPr>
          <w:rFonts w:asciiTheme="majorHAnsi" w:eastAsia="Times New Roman" w:hAnsiTheme="majorHAnsi" w:cs="Times New Roman"/>
          <w:bCs/>
          <w:iCs/>
        </w:rPr>
        <w:t xml:space="preserve"> </w:t>
      </w:r>
      <w:proofErr w:type="spellStart"/>
      <w:r w:rsidRPr="00606C48">
        <w:rPr>
          <w:rFonts w:asciiTheme="majorHAnsi" w:eastAsia="Times New Roman" w:hAnsiTheme="majorHAnsi" w:cs="Times New Roman"/>
          <w:bCs/>
          <w:iCs/>
        </w:rPr>
        <w:t>MiVoice</w:t>
      </w:r>
      <w:proofErr w:type="spellEnd"/>
      <w:r w:rsidRPr="00606C48">
        <w:rPr>
          <w:rFonts w:asciiTheme="majorHAnsi" w:eastAsia="Times New Roman" w:hAnsiTheme="majorHAnsi" w:cs="Times New Roman"/>
          <w:bCs/>
          <w:iCs/>
        </w:rPr>
        <w:t xml:space="preserve"> MX-ONE</w:t>
      </w:r>
      <w:r w:rsidR="00BA6492">
        <w:rPr>
          <w:rFonts w:asciiTheme="majorHAnsi" w:eastAsia="Times New Roman" w:hAnsiTheme="majorHAnsi" w:cs="Times New Roman"/>
          <w:bCs/>
          <w:iCs/>
        </w:rPr>
        <w:t>.</w:t>
      </w:r>
    </w:p>
    <w:p w14:paraId="0475FD2E" w14:textId="5ECAB152" w:rsidR="00087D48" w:rsidRPr="00567DC9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67DC9">
        <w:rPr>
          <w:rFonts w:asciiTheme="majorHAnsi" w:eastAsia="Times New Roman" w:hAnsiTheme="majorHAnsi" w:cs="Arial"/>
          <w:b/>
          <w:bCs/>
          <w:caps/>
          <w:kern w:val="32"/>
        </w:rPr>
        <w:t>Další podmínky plnění</w:t>
      </w:r>
      <w:bookmarkEnd w:id="28"/>
      <w:bookmarkEnd w:id="29"/>
      <w:bookmarkEnd w:id="30"/>
      <w:bookmarkEnd w:id="31"/>
    </w:p>
    <w:p w14:paraId="57444015" w14:textId="77777777" w:rsidR="00904507" w:rsidRPr="004F41AF" w:rsidRDefault="00904507" w:rsidP="004F41A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/>
          <w:bCs/>
          <w:iCs/>
        </w:rPr>
      </w:pPr>
      <w:r w:rsidRPr="004F41AF">
        <w:rPr>
          <w:rFonts w:asciiTheme="majorHAnsi" w:eastAsia="Times New Roman" w:hAnsiTheme="majorHAnsi" w:cs="Times New Roman"/>
          <w:b/>
          <w:bCs/>
          <w:iCs/>
        </w:rPr>
        <w:t>Požadavky na bezpečnost</w:t>
      </w:r>
    </w:p>
    <w:p w14:paraId="3D7E8263" w14:textId="42CB5986" w:rsidR="00087D48" w:rsidRPr="00567DC9" w:rsidRDefault="00683754" w:rsidP="00BA6492">
      <w:pPr>
        <w:widowControl w:val="0"/>
        <w:spacing w:before="120" w:after="120" w:line="240" w:lineRule="auto"/>
        <w:ind w:left="567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Times New Roman"/>
          <w:bCs/>
          <w:iCs/>
        </w:rPr>
        <w:t>Prodávající bude</w:t>
      </w:r>
      <w:r w:rsidR="00904507" w:rsidRPr="00904507">
        <w:rPr>
          <w:rFonts w:asciiTheme="majorHAnsi" w:eastAsia="Times New Roman" w:hAnsiTheme="majorHAnsi" w:cs="Times New Roman"/>
          <w:bCs/>
          <w:iCs/>
        </w:rPr>
        <w:t xml:space="preserve"> </w:t>
      </w:r>
      <w:r w:rsidR="007F111A">
        <w:rPr>
          <w:rFonts w:asciiTheme="majorHAnsi" w:eastAsia="Times New Roman" w:hAnsiTheme="majorHAnsi" w:cs="Times New Roman"/>
          <w:bCs/>
          <w:iCs/>
        </w:rPr>
        <w:t xml:space="preserve">pro veškeré dodávané Hardware </w:t>
      </w:r>
      <w:r w:rsidR="00904507" w:rsidRPr="00904507">
        <w:rPr>
          <w:rFonts w:asciiTheme="majorHAnsi" w:eastAsia="Times New Roman" w:hAnsiTheme="majorHAnsi" w:cs="Times New Roman"/>
          <w:bCs/>
          <w:iCs/>
        </w:rPr>
        <w:t>provádět pravidelné vyhodnocování bezpečnostních rizik a zranitelností (např. dle CVSS) a pro detekované zranitelnosti vydávat opravy</w:t>
      </w:r>
      <w:r w:rsidR="006E74F8">
        <w:rPr>
          <w:noProof/>
        </w:rPr>
        <w:t>, a to po dobu 3 let od dodání a akceptace Hardware Kupujícím</w:t>
      </w:r>
      <w:r w:rsidR="00904507" w:rsidRPr="00904507">
        <w:rPr>
          <w:rFonts w:asciiTheme="majorHAnsi" w:eastAsia="Times New Roman" w:hAnsiTheme="majorHAnsi" w:cs="Times New Roman"/>
          <w:bCs/>
          <w:iCs/>
        </w:rPr>
        <w:t xml:space="preserve">. V případě, že je možnost instalace oprav podmíněna nějakou formou </w:t>
      </w:r>
      <w:proofErr w:type="spellStart"/>
      <w:r w:rsidR="00904507" w:rsidRPr="00904507">
        <w:rPr>
          <w:rFonts w:asciiTheme="majorHAnsi" w:eastAsia="Times New Roman" w:hAnsiTheme="majorHAnsi" w:cs="Times New Roman"/>
          <w:bCs/>
          <w:iCs/>
        </w:rPr>
        <w:t>maintenance</w:t>
      </w:r>
      <w:proofErr w:type="spellEnd"/>
      <w:r w:rsidR="00904507" w:rsidRPr="00904507">
        <w:rPr>
          <w:rFonts w:asciiTheme="majorHAnsi" w:eastAsia="Times New Roman" w:hAnsiTheme="majorHAnsi" w:cs="Times New Roman"/>
          <w:bCs/>
          <w:iCs/>
        </w:rPr>
        <w:t xml:space="preserve"> poplatků, </w:t>
      </w:r>
      <w:r>
        <w:rPr>
          <w:rFonts w:asciiTheme="majorHAnsi" w:eastAsia="Times New Roman" w:hAnsiTheme="majorHAnsi" w:cs="Times New Roman"/>
          <w:bCs/>
          <w:iCs/>
        </w:rPr>
        <w:t>takový poplatek je</w:t>
      </w:r>
      <w:r w:rsidR="00904507" w:rsidRPr="00904507">
        <w:rPr>
          <w:rFonts w:asciiTheme="majorHAnsi" w:eastAsia="Times New Roman" w:hAnsiTheme="majorHAnsi" w:cs="Times New Roman"/>
          <w:bCs/>
          <w:iCs/>
        </w:rPr>
        <w:t xml:space="preserve"> zahrnut </w:t>
      </w:r>
      <w:r w:rsidR="00373557">
        <w:rPr>
          <w:rFonts w:asciiTheme="majorHAnsi" w:eastAsia="Times New Roman" w:hAnsiTheme="majorHAnsi" w:cs="Times New Roman"/>
          <w:bCs/>
          <w:iCs/>
        </w:rPr>
        <w:t xml:space="preserve">ve smluvní ceně po celou dobu zajišťování </w:t>
      </w:r>
      <w:r w:rsidR="00373557">
        <w:rPr>
          <w:noProof/>
        </w:rPr>
        <w:t>podpory a</w:t>
      </w:r>
      <w:r w:rsidR="00B65DE2">
        <w:rPr>
          <w:noProof/>
        </w:rPr>
        <w:t xml:space="preserve"> záručního</w:t>
      </w:r>
      <w:r w:rsidR="00373557">
        <w:rPr>
          <w:noProof/>
        </w:rPr>
        <w:t xml:space="preserve"> servisu pro dodané zařízení</w:t>
      </w:r>
      <w:r w:rsidR="00904507" w:rsidRPr="00904507">
        <w:rPr>
          <w:rFonts w:asciiTheme="majorHAnsi" w:eastAsia="Times New Roman" w:hAnsiTheme="majorHAnsi" w:cs="Times New Roman"/>
          <w:bCs/>
          <w:iCs/>
        </w:rPr>
        <w:t>.</w:t>
      </w:r>
      <w:r w:rsidR="00904507" w:rsidRPr="00904507" w:rsidDel="00904507">
        <w:rPr>
          <w:rFonts w:asciiTheme="majorHAnsi" w:eastAsia="Times New Roman" w:hAnsiTheme="majorHAnsi" w:cs="Times New Roman"/>
          <w:bCs/>
          <w:iCs/>
          <w:highlight w:val="yellow"/>
        </w:rPr>
        <w:t xml:space="preserve"> </w:t>
      </w:r>
    </w:p>
    <w:p w14:paraId="395CDE0A" w14:textId="77777777" w:rsidR="009F392E" w:rsidRPr="00380F2D" w:rsidRDefault="009F392E" w:rsidP="00F0533E">
      <w:pPr>
        <w:rPr>
          <w:rFonts w:asciiTheme="majorHAnsi" w:hAnsiTheme="majorHAnsi"/>
        </w:rPr>
      </w:pPr>
      <w:bookmarkStart w:id="32" w:name="_GoBack"/>
      <w:bookmarkEnd w:id="32"/>
    </w:p>
    <w:sectPr w:rsidR="009F392E" w:rsidRPr="00380F2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C1E6D" w14:textId="77777777" w:rsidR="005774E1" w:rsidRDefault="005774E1" w:rsidP="00962258">
      <w:pPr>
        <w:spacing w:after="0" w:line="240" w:lineRule="auto"/>
      </w:pPr>
      <w:r>
        <w:separator/>
      </w:r>
    </w:p>
  </w:endnote>
  <w:endnote w:type="continuationSeparator" w:id="0">
    <w:p w14:paraId="4B14D9E1" w14:textId="77777777" w:rsidR="005774E1" w:rsidRDefault="005774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99B2D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DF1B88" w14:textId="22F14C1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22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22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302E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75260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412E4A" w14:textId="77777777" w:rsidR="00F1715C" w:rsidRDefault="00F1715C" w:rsidP="00D831A3">
          <w:pPr>
            <w:pStyle w:val="Zpat"/>
          </w:pPr>
        </w:p>
      </w:tc>
    </w:tr>
  </w:tbl>
  <w:p w14:paraId="5E6F84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16D564" wp14:editId="770528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E917E7" wp14:editId="5846B6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BC023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AD0AE76" w14:textId="746D227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79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798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C1B3F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C22E9E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74C39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481904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9894571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5239E2BB" w14:textId="77777777" w:rsidR="00F1715C" w:rsidRDefault="00F1715C" w:rsidP="00460660">
          <w:pPr>
            <w:pStyle w:val="Zpat"/>
          </w:pPr>
        </w:p>
      </w:tc>
    </w:tr>
  </w:tbl>
  <w:p w14:paraId="74AEC3F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D5DC56" wp14:editId="4372BCD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3C43A29" wp14:editId="39F802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FA194F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CC804" w14:textId="77777777" w:rsidR="005774E1" w:rsidRDefault="005774E1" w:rsidP="00962258">
      <w:pPr>
        <w:spacing w:after="0" w:line="240" w:lineRule="auto"/>
      </w:pPr>
      <w:r>
        <w:separator/>
      </w:r>
    </w:p>
  </w:footnote>
  <w:footnote w:type="continuationSeparator" w:id="0">
    <w:p w14:paraId="12A4053C" w14:textId="77777777" w:rsidR="005774E1" w:rsidRDefault="005774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66DB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1A680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A1367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B26F5B" w14:textId="77777777" w:rsidR="00F1715C" w:rsidRPr="00D6163D" w:rsidRDefault="00F1715C" w:rsidP="00D6163D">
          <w:pPr>
            <w:pStyle w:val="Druhdokumentu"/>
          </w:pPr>
        </w:p>
      </w:tc>
    </w:tr>
  </w:tbl>
  <w:p w14:paraId="4F0E67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D90539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7D0FD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D4DE9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6CA8B1" w14:textId="77777777" w:rsidR="00F1715C" w:rsidRPr="00D6163D" w:rsidRDefault="00F1715C" w:rsidP="00FC6389">
          <w:pPr>
            <w:pStyle w:val="Druhdokumentu"/>
          </w:pPr>
        </w:p>
      </w:tc>
    </w:tr>
    <w:tr w:rsidR="009F392E" w14:paraId="0B794C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4E4622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78F1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598CBF" w14:textId="77777777" w:rsidR="009F392E" w:rsidRPr="00D6163D" w:rsidRDefault="009F392E" w:rsidP="00FC6389">
          <w:pPr>
            <w:pStyle w:val="Druhdokumentu"/>
          </w:pPr>
        </w:p>
      </w:tc>
    </w:tr>
  </w:tbl>
  <w:p w14:paraId="478B31F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BCBDF4B" wp14:editId="474212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08C9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3153E0"/>
    <w:multiLevelType w:val="hybridMultilevel"/>
    <w:tmpl w:val="1DF45D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297BEC"/>
    <w:multiLevelType w:val="hybridMultilevel"/>
    <w:tmpl w:val="CCD491C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645CBB"/>
    <w:multiLevelType w:val="hybridMultilevel"/>
    <w:tmpl w:val="6EC4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02E29"/>
    <w:multiLevelType w:val="hybridMultilevel"/>
    <w:tmpl w:val="0BC850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22D28A1"/>
    <w:multiLevelType w:val="hybridMultilevel"/>
    <w:tmpl w:val="B330EDD0"/>
    <w:lvl w:ilvl="0" w:tplc="F1921F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A0E7178"/>
    <w:multiLevelType w:val="hybridMultilevel"/>
    <w:tmpl w:val="49943F50"/>
    <w:lvl w:ilvl="0" w:tplc="F1921F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72938"/>
    <w:multiLevelType w:val="hybridMultilevel"/>
    <w:tmpl w:val="E6E0C392"/>
    <w:lvl w:ilvl="0" w:tplc="F1921F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77AFE"/>
    <w:multiLevelType w:val="hybridMultilevel"/>
    <w:tmpl w:val="97D8A220"/>
    <w:lvl w:ilvl="0" w:tplc="7890B8F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F4B5D6A"/>
    <w:multiLevelType w:val="multilevel"/>
    <w:tmpl w:val="29F4C6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5B7681"/>
    <w:multiLevelType w:val="hybridMultilevel"/>
    <w:tmpl w:val="FA6A5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8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8"/>
  </w:num>
  <w:num w:numId="17">
    <w:abstractNumId w:val="3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8"/>
  </w:num>
  <w:num w:numId="29">
    <w:abstractNumId w:val="3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7"/>
  </w:num>
  <w:num w:numId="37">
    <w:abstractNumId w:val="6"/>
  </w:num>
  <w:num w:numId="38">
    <w:abstractNumId w:val="4"/>
  </w:num>
  <w:num w:numId="39">
    <w:abstractNumId w:val="14"/>
  </w:num>
  <w:num w:numId="40">
    <w:abstractNumId w:val="12"/>
  </w:num>
  <w:num w:numId="41">
    <w:abstractNumId w:val="9"/>
  </w:num>
  <w:num w:numId="42">
    <w:abstractNumId w:val="13"/>
  </w:num>
  <w:num w:numId="4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16ED9"/>
    <w:rsid w:val="00072C1E"/>
    <w:rsid w:val="00087D48"/>
    <w:rsid w:val="000E23A7"/>
    <w:rsid w:val="000E45C8"/>
    <w:rsid w:val="0010693F"/>
    <w:rsid w:val="00114472"/>
    <w:rsid w:val="001170A7"/>
    <w:rsid w:val="001364FA"/>
    <w:rsid w:val="00145F15"/>
    <w:rsid w:val="00146B61"/>
    <w:rsid w:val="00154E81"/>
    <w:rsid w:val="001550BC"/>
    <w:rsid w:val="001550D8"/>
    <w:rsid w:val="001555A2"/>
    <w:rsid w:val="001605B9"/>
    <w:rsid w:val="00170EC5"/>
    <w:rsid w:val="001747C1"/>
    <w:rsid w:val="00184743"/>
    <w:rsid w:val="00192EE1"/>
    <w:rsid w:val="001955E2"/>
    <w:rsid w:val="001C59A6"/>
    <w:rsid w:val="001D6213"/>
    <w:rsid w:val="001F60DA"/>
    <w:rsid w:val="00207DF5"/>
    <w:rsid w:val="0021305B"/>
    <w:rsid w:val="00213C3E"/>
    <w:rsid w:val="00252D47"/>
    <w:rsid w:val="00257999"/>
    <w:rsid w:val="0026561C"/>
    <w:rsid w:val="00280E07"/>
    <w:rsid w:val="0028294A"/>
    <w:rsid w:val="00290462"/>
    <w:rsid w:val="002A2C36"/>
    <w:rsid w:val="002C31BF"/>
    <w:rsid w:val="002D08B1"/>
    <w:rsid w:val="002E0CD7"/>
    <w:rsid w:val="002F3EB3"/>
    <w:rsid w:val="00324820"/>
    <w:rsid w:val="00337F03"/>
    <w:rsid w:val="00341DCF"/>
    <w:rsid w:val="00344AD5"/>
    <w:rsid w:val="00357BC6"/>
    <w:rsid w:val="00373557"/>
    <w:rsid w:val="00380F2D"/>
    <w:rsid w:val="00391D39"/>
    <w:rsid w:val="003956C6"/>
    <w:rsid w:val="003D2567"/>
    <w:rsid w:val="003D782F"/>
    <w:rsid w:val="003F67CB"/>
    <w:rsid w:val="0040535E"/>
    <w:rsid w:val="00414841"/>
    <w:rsid w:val="00441430"/>
    <w:rsid w:val="00443EA6"/>
    <w:rsid w:val="00450F07"/>
    <w:rsid w:val="00453CD3"/>
    <w:rsid w:val="00460660"/>
    <w:rsid w:val="00467519"/>
    <w:rsid w:val="00470529"/>
    <w:rsid w:val="00486107"/>
    <w:rsid w:val="00491827"/>
    <w:rsid w:val="0049486B"/>
    <w:rsid w:val="00495997"/>
    <w:rsid w:val="004B348C"/>
    <w:rsid w:val="004C4399"/>
    <w:rsid w:val="004C5AF4"/>
    <w:rsid w:val="004C787C"/>
    <w:rsid w:val="004D2F42"/>
    <w:rsid w:val="004E0F88"/>
    <w:rsid w:val="004E143C"/>
    <w:rsid w:val="004E3A53"/>
    <w:rsid w:val="004F20BC"/>
    <w:rsid w:val="004F41AF"/>
    <w:rsid w:val="004F4B9B"/>
    <w:rsid w:val="004F69EA"/>
    <w:rsid w:val="004F7D93"/>
    <w:rsid w:val="00500751"/>
    <w:rsid w:val="0051191E"/>
    <w:rsid w:val="00511AB9"/>
    <w:rsid w:val="00513CA0"/>
    <w:rsid w:val="00523EA7"/>
    <w:rsid w:val="00553375"/>
    <w:rsid w:val="00557C28"/>
    <w:rsid w:val="00560230"/>
    <w:rsid w:val="00560CC7"/>
    <w:rsid w:val="00567DC9"/>
    <w:rsid w:val="005736B7"/>
    <w:rsid w:val="00575E5A"/>
    <w:rsid w:val="005774E1"/>
    <w:rsid w:val="00591641"/>
    <w:rsid w:val="005C6EAA"/>
    <w:rsid w:val="005F1404"/>
    <w:rsid w:val="00606C48"/>
    <w:rsid w:val="00607706"/>
    <w:rsid w:val="0061068E"/>
    <w:rsid w:val="00612312"/>
    <w:rsid w:val="0061798B"/>
    <w:rsid w:val="00643820"/>
    <w:rsid w:val="00660AD3"/>
    <w:rsid w:val="00662EB6"/>
    <w:rsid w:val="00677B7F"/>
    <w:rsid w:val="00681D79"/>
    <w:rsid w:val="00683754"/>
    <w:rsid w:val="00685B40"/>
    <w:rsid w:val="00690943"/>
    <w:rsid w:val="00690D0C"/>
    <w:rsid w:val="006A0BE8"/>
    <w:rsid w:val="006A5570"/>
    <w:rsid w:val="006A689C"/>
    <w:rsid w:val="006B3D79"/>
    <w:rsid w:val="006C73F7"/>
    <w:rsid w:val="006D7AFE"/>
    <w:rsid w:val="006E0578"/>
    <w:rsid w:val="006E314D"/>
    <w:rsid w:val="006E74F8"/>
    <w:rsid w:val="00710723"/>
    <w:rsid w:val="0072053A"/>
    <w:rsid w:val="00723ED1"/>
    <w:rsid w:val="007250FD"/>
    <w:rsid w:val="00743525"/>
    <w:rsid w:val="0074381A"/>
    <w:rsid w:val="0076286B"/>
    <w:rsid w:val="00766846"/>
    <w:rsid w:val="0077673A"/>
    <w:rsid w:val="007846E1"/>
    <w:rsid w:val="007A5E17"/>
    <w:rsid w:val="007B142B"/>
    <w:rsid w:val="007B570C"/>
    <w:rsid w:val="007C589B"/>
    <w:rsid w:val="007E25D5"/>
    <w:rsid w:val="007E4A6E"/>
    <w:rsid w:val="007F111A"/>
    <w:rsid w:val="007F56A7"/>
    <w:rsid w:val="0080107E"/>
    <w:rsid w:val="00802C6A"/>
    <w:rsid w:val="00807DD0"/>
    <w:rsid w:val="008168FB"/>
    <w:rsid w:val="0082722F"/>
    <w:rsid w:val="008659F3"/>
    <w:rsid w:val="00886D4B"/>
    <w:rsid w:val="00895406"/>
    <w:rsid w:val="008A3568"/>
    <w:rsid w:val="008A79BF"/>
    <w:rsid w:val="008B55A2"/>
    <w:rsid w:val="008C48EF"/>
    <w:rsid w:val="008C4D36"/>
    <w:rsid w:val="008D03B9"/>
    <w:rsid w:val="008F18D6"/>
    <w:rsid w:val="00904507"/>
    <w:rsid w:val="00904780"/>
    <w:rsid w:val="00922385"/>
    <w:rsid w:val="009223DF"/>
    <w:rsid w:val="00923DE9"/>
    <w:rsid w:val="00936091"/>
    <w:rsid w:val="00940D8A"/>
    <w:rsid w:val="00962258"/>
    <w:rsid w:val="009678B7"/>
    <w:rsid w:val="00970B0F"/>
    <w:rsid w:val="00972136"/>
    <w:rsid w:val="00976C7A"/>
    <w:rsid w:val="009833E1"/>
    <w:rsid w:val="0099153B"/>
    <w:rsid w:val="00992D9C"/>
    <w:rsid w:val="00996CB8"/>
    <w:rsid w:val="00997226"/>
    <w:rsid w:val="009B14A9"/>
    <w:rsid w:val="009B2E97"/>
    <w:rsid w:val="009C4E78"/>
    <w:rsid w:val="009E07F4"/>
    <w:rsid w:val="009F392E"/>
    <w:rsid w:val="00A05A92"/>
    <w:rsid w:val="00A35875"/>
    <w:rsid w:val="00A6177B"/>
    <w:rsid w:val="00A66136"/>
    <w:rsid w:val="00A712FD"/>
    <w:rsid w:val="00A95042"/>
    <w:rsid w:val="00AA3A96"/>
    <w:rsid w:val="00AA4CBB"/>
    <w:rsid w:val="00AA65FA"/>
    <w:rsid w:val="00AA7351"/>
    <w:rsid w:val="00AD056F"/>
    <w:rsid w:val="00AD6731"/>
    <w:rsid w:val="00B12FB0"/>
    <w:rsid w:val="00B15D0D"/>
    <w:rsid w:val="00B208A0"/>
    <w:rsid w:val="00B2180C"/>
    <w:rsid w:val="00B65DE2"/>
    <w:rsid w:val="00B75EE1"/>
    <w:rsid w:val="00B77481"/>
    <w:rsid w:val="00B8518B"/>
    <w:rsid w:val="00BA6492"/>
    <w:rsid w:val="00BC305E"/>
    <w:rsid w:val="00BD7E91"/>
    <w:rsid w:val="00C02D0A"/>
    <w:rsid w:val="00C03A6E"/>
    <w:rsid w:val="00C05E2F"/>
    <w:rsid w:val="00C35184"/>
    <w:rsid w:val="00C44F6A"/>
    <w:rsid w:val="00C47AE3"/>
    <w:rsid w:val="00C652D0"/>
    <w:rsid w:val="00CC4193"/>
    <w:rsid w:val="00CC7608"/>
    <w:rsid w:val="00CD1FC4"/>
    <w:rsid w:val="00D1534C"/>
    <w:rsid w:val="00D17940"/>
    <w:rsid w:val="00D21061"/>
    <w:rsid w:val="00D313B7"/>
    <w:rsid w:val="00D4108E"/>
    <w:rsid w:val="00D4507C"/>
    <w:rsid w:val="00D6163D"/>
    <w:rsid w:val="00D73D46"/>
    <w:rsid w:val="00D75238"/>
    <w:rsid w:val="00D831A3"/>
    <w:rsid w:val="00D853F2"/>
    <w:rsid w:val="00DA37D7"/>
    <w:rsid w:val="00DC55A3"/>
    <w:rsid w:val="00DC75F3"/>
    <w:rsid w:val="00DD46F3"/>
    <w:rsid w:val="00DE56F2"/>
    <w:rsid w:val="00DE6A0F"/>
    <w:rsid w:val="00DF116D"/>
    <w:rsid w:val="00DF1275"/>
    <w:rsid w:val="00E03CBA"/>
    <w:rsid w:val="00E36C4A"/>
    <w:rsid w:val="00E5379C"/>
    <w:rsid w:val="00E5380E"/>
    <w:rsid w:val="00E53DFF"/>
    <w:rsid w:val="00E66FFE"/>
    <w:rsid w:val="00E818B2"/>
    <w:rsid w:val="00EB104F"/>
    <w:rsid w:val="00ED14BD"/>
    <w:rsid w:val="00ED1681"/>
    <w:rsid w:val="00ED59F4"/>
    <w:rsid w:val="00EE03E1"/>
    <w:rsid w:val="00EF35B2"/>
    <w:rsid w:val="00F0533E"/>
    <w:rsid w:val="00F1048D"/>
    <w:rsid w:val="00F12DEC"/>
    <w:rsid w:val="00F1715C"/>
    <w:rsid w:val="00F310F8"/>
    <w:rsid w:val="00F35939"/>
    <w:rsid w:val="00F45607"/>
    <w:rsid w:val="00F55193"/>
    <w:rsid w:val="00F5558F"/>
    <w:rsid w:val="00F571E8"/>
    <w:rsid w:val="00F659EB"/>
    <w:rsid w:val="00F86BA6"/>
    <w:rsid w:val="00F908DC"/>
    <w:rsid w:val="00FB08BA"/>
    <w:rsid w:val="00FC6389"/>
    <w:rsid w:val="00FD081C"/>
    <w:rsid w:val="00FD5BEB"/>
    <w:rsid w:val="00FD7E2C"/>
    <w:rsid w:val="00FE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5E542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358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358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58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8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87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602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9F0DB9-1473-4442-B860-4913525D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129</TotalTime>
  <Pages>5</Pages>
  <Words>1457</Words>
  <Characters>8603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22</cp:revision>
  <cp:lastPrinted>2017-11-28T17:18:00Z</cp:lastPrinted>
  <dcterms:created xsi:type="dcterms:W3CDTF">2023-01-17T13:27:00Z</dcterms:created>
  <dcterms:modified xsi:type="dcterms:W3CDTF">2023-01-30T09:46:00Z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